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C92" w:rsidRDefault="00B53C92">
      <w:bookmarkStart w:id="0" w:name="_GoBack"/>
      <w:bookmarkEnd w:id="0"/>
    </w:p>
    <w:p w:rsidR="00506AFC" w:rsidRDefault="00477D03">
      <w:r>
        <w:rPr>
          <w:noProof/>
          <w:lang w:eastAsia="en-GB"/>
        </w:rPr>
        <w:drawing>
          <wp:anchor distT="0" distB="0" distL="114300" distR="114300" simplePos="0" relativeHeight="251658240" behindDoc="0" locked="0" layoutInCell="1" allowOverlap="1" wp14:anchorId="5B610A55" wp14:editId="34D648E7">
            <wp:simplePos x="0" y="0"/>
            <wp:positionH relativeFrom="column">
              <wp:posOffset>1174514</wp:posOffset>
            </wp:positionH>
            <wp:positionV relativeFrom="paragraph">
              <wp:posOffset>86862</wp:posOffset>
            </wp:positionV>
            <wp:extent cx="2906333" cy="1839432"/>
            <wp:effectExtent l="0" t="0" r="8890" b="8890"/>
            <wp:wrapNone/>
            <wp:docPr id="2" name="Picture 2" descr="Tibbetts Logo RGB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bbetts Logo RGB Spa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6333" cy="1839432"/>
                    </a:xfrm>
                    <a:prstGeom prst="rect">
                      <a:avLst/>
                    </a:prstGeom>
                    <a:noFill/>
                  </pic:spPr>
                </pic:pic>
              </a:graphicData>
            </a:graphic>
            <wp14:sizeRelH relativeFrom="page">
              <wp14:pctWidth>0</wp14:pctWidth>
            </wp14:sizeRelH>
            <wp14:sizeRelV relativeFrom="page">
              <wp14:pctHeight>0</wp14:pctHeight>
            </wp14:sizeRelV>
          </wp:anchor>
        </w:drawing>
      </w:r>
    </w:p>
    <w:p w:rsidR="00506AFC" w:rsidRDefault="00506AFC"/>
    <w:p w:rsidR="00506AFC" w:rsidRDefault="00506AFC"/>
    <w:p w:rsidR="00506AFC" w:rsidRDefault="00506AFC"/>
    <w:p w:rsidR="00506AFC" w:rsidRDefault="00506AFC"/>
    <w:p w:rsidR="00506AFC" w:rsidRDefault="00506AFC"/>
    <w:p w:rsidR="00506AFC" w:rsidRDefault="00506AFC"/>
    <w:p w:rsidR="00506AFC" w:rsidRDefault="00506AFC" w:rsidP="000E2892">
      <w:pPr>
        <w:jc w:val="center"/>
      </w:pPr>
    </w:p>
    <w:p w:rsidR="00506AFC" w:rsidRDefault="00506AFC"/>
    <w:p w:rsidR="00506AFC" w:rsidRDefault="00506AFC"/>
    <w:p w:rsidR="00506AFC" w:rsidRDefault="00506AFC"/>
    <w:p w:rsidR="000A5F0B" w:rsidRDefault="000A5F0B"/>
    <w:p w:rsidR="000A5F0B" w:rsidRDefault="000A5F0B"/>
    <w:p w:rsidR="00506AFC" w:rsidRDefault="00506AFC"/>
    <w:p w:rsidR="00506AFC" w:rsidRDefault="00506AFC"/>
    <w:p w:rsidR="00506AFC" w:rsidRPr="00F7137A" w:rsidRDefault="000873CC" w:rsidP="00F7137A">
      <w:pPr>
        <w:jc w:val="center"/>
        <w:rPr>
          <w:rFonts w:ascii="Arial" w:hAnsi="Arial" w:cs="Arial"/>
          <w:sz w:val="72"/>
        </w:rPr>
      </w:pPr>
      <w:r>
        <w:rPr>
          <w:rFonts w:ascii="Arial" w:hAnsi="Arial" w:cs="Arial"/>
          <w:sz w:val="72"/>
        </w:rPr>
        <w:t>The Tibbetts Group</w:t>
      </w:r>
      <w:r w:rsidR="00F7137A" w:rsidRPr="00F7137A">
        <w:rPr>
          <w:rFonts w:ascii="Arial" w:hAnsi="Arial" w:cs="Arial"/>
          <w:sz w:val="72"/>
        </w:rPr>
        <w:t xml:space="preserve"> </w:t>
      </w:r>
    </w:p>
    <w:p w:rsidR="00F7137A" w:rsidRPr="00F7137A" w:rsidRDefault="00F7137A" w:rsidP="00F7137A">
      <w:pPr>
        <w:jc w:val="center"/>
        <w:rPr>
          <w:rFonts w:ascii="Arial" w:hAnsi="Arial" w:cs="Arial"/>
          <w:sz w:val="72"/>
        </w:rPr>
      </w:pPr>
      <w:r w:rsidRPr="00F7137A">
        <w:rPr>
          <w:rFonts w:ascii="Arial" w:hAnsi="Arial" w:cs="Arial"/>
          <w:sz w:val="72"/>
        </w:rPr>
        <w:t>Ethical Working Practi</w:t>
      </w:r>
      <w:r w:rsidR="00444A82">
        <w:rPr>
          <w:rFonts w:ascii="Arial" w:hAnsi="Arial" w:cs="Arial"/>
          <w:sz w:val="72"/>
        </w:rPr>
        <w:t>c</w:t>
      </w:r>
      <w:r w:rsidRPr="00F7137A">
        <w:rPr>
          <w:rFonts w:ascii="Arial" w:hAnsi="Arial" w:cs="Arial"/>
          <w:sz w:val="72"/>
        </w:rPr>
        <w:t>e</w:t>
      </w:r>
    </w:p>
    <w:p w:rsidR="00F7137A" w:rsidRPr="00F7137A" w:rsidRDefault="00F7137A" w:rsidP="00F7137A">
      <w:pPr>
        <w:jc w:val="center"/>
        <w:rPr>
          <w:rFonts w:ascii="Arial" w:hAnsi="Arial" w:cs="Arial"/>
          <w:sz w:val="72"/>
        </w:rPr>
      </w:pPr>
      <w:r w:rsidRPr="00F7137A">
        <w:rPr>
          <w:rFonts w:ascii="Arial" w:hAnsi="Arial" w:cs="Arial"/>
          <w:sz w:val="72"/>
        </w:rPr>
        <w:t>(</w:t>
      </w:r>
      <w:r>
        <w:rPr>
          <w:rFonts w:ascii="Arial" w:hAnsi="Arial" w:cs="Arial"/>
          <w:sz w:val="72"/>
        </w:rPr>
        <w:t>A</w:t>
      </w:r>
      <w:r w:rsidRPr="00F7137A">
        <w:rPr>
          <w:rFonts w:ascii="Arial" w:hAnsi="Arial" w:cs="Arial"/>
          <w:sz w:val="72"/>
        </w:rPr>
        <w:t xml:space="preserve">ll </w:t>
      </w:r>
      <w:r w:rsidR="000873CC">
        <w:rPr>
          <w:rFonts w:ascii="Arial" w:hAnsi="Arial" w:cs="Arial"/>
          <w:sz w:val="72"/>
        </w:rPr>
        <w:t>S</w:t>
      </w:r>
      <w:r w:rsidRPr="00F7137A">
        <w:rPr>
          <w:rFonts w:ascii="Arial" w:hAnsi="Arial" w:cs="Arial"/>
          <w:sz w:val="72"/>
        </w:rPr>
        <w:t>ites)</w:t>
      </w:r>
    </w:p>
    <w:p w:rsidR="00506AFC" w:rsidRDefault="00506AFC"/>
    <w:p w:rsidR="00506AFC" w:rsidRDefault="00506AFC"/>
    <w:p w:rsidR="00506AFC" w:rsidRDefault="00506AFC"/>
    <w:p w:rsidR="00506AFC" w:rsidRDefault="00506AFC"/>
    <w:p w:rsidR="00506AFC" w:rsidRDefault="00506AFC"/>
    <w:p w:rsidR="00506AFC" w:rsidRDefault="00506AFC"/>
    <w:p w:rsidR="00506AFC" w:rsidRDefault="00506AFC"/>
    <w:p w:rsidR="00506AFC" w:rsidRDefault="00506AFC"/>
    <w:p w:rsidR="00506AFC" w:rsidRDefault="00506AFC"/>
    <w:p w:rsidR="00506AFC" w:rsidRDefault="00506AFC"/>
    <w:p w:rsidR="00506AFC" w:rsidRDefault="00506AFC"/>
    <w:p w:rsidR="00506AFC" w:rsidRDefault="00506AFC"/>
    <w:p w:rsidR="00506AFC" w:rsidRDefault="00506AFC"/>
    <w:p w:rsidR="00506AFC" w:rsidRDefault="00506AFC"/>
    <w:p w:rsidR="00506AFC" w:rsidRDefault="00506AFC"/>
    <w:p w:rsidR="00506AFC" w:rsidRDefault="00506AFC"/>
    <w:p w:rsidR="00506AFC" w:rsidRDefault="00506AFC"/>
    <w:p w:rsidR="00506AFC" w:rsidRDefault="00506AFC"/>
    <w:p w:rsidR="00506AFC" w:rsidRDefault="00506AFC"/>
    <w:p w:rsidR="00506AFC" w:rsidRDefault="00506AFC"/>
    <w:p w:rsidR="00506AFC" w:rsidRDefault="00506AFC"/>
    <w:p w:rsidR="00506AFC" w:rsidRDefault="00506AFC"/>
    <w:p w:rsidR="00506AFC" w:rsidRDefault="00506AFC"/>
    <w:p w:rsidR="00506AFC" w:rsidRDefault="00506AFC"/>
    <w:p w:rsidR="00506AFC" w:rsidRDefault="00506AFC"/>
    <w:p w:rsidR="00506AFC" w:rsidRDefault="00506AFC"/>
    <w:p w:rsidR="00506AFC" w:rsidRPr="000E2892" w:rsidRDefault="000873CC">
      <w:pPr>
        <w:rPr>
          <w:rFonts w:ascii="Arial" w:hAnsi="Arial" w:cs="Arial"/>
          <w:b/>
          <w:sz w:val="22"/>
          <w:szCs w:val="22"/>
          <w:u w:val="single"/>
        </w:rPr>
      </w:pPr>
      <w:r w:rsidRPr="000E2892">
        <w:rPr>
          <w:rFonts w:ascii="Arial" w:hAnsi="Arial" w:cs="Arial"/>
          <w:b/>
          <w:sz w:val="22"/>
          <w:szCs w:val="22"/>
          <w:u w:val="single"/>
        </w:rPr>
        <w:t>The Tibbetts Group</w:t>
      </w:r>
      <w:r w:rsidR="00F7137A" w:rsidRPr="000E2892">
        <w:rPr>
          <w:rFonts w:ascii="Arial" w:hAnsi="Arial" w:cs="Arial"/>
          <w:b/>
          <w:sz w:val="22"/>
          <w:szCs w:val="22"/>
          <w:u w:val="single"/>
        </w:rPr>
        <w:t xml:space="preserve">- Ethical Policy </w:t>
      </w:r>
    </w:p>
    <w:p w:rsidR="00F7137A" w:rsidRPr="000E2892" w:rsidRDefault="000873CC" w:rsidP="000A5F0B">
      <w:pPr>
        <w:pStyle w:val="NormalWeb"/>
        <w:jc w:val="both"/>
        <w:rPr>
          <w:rFonts w:ascii="Arial" w:hAnsi="Arial" w:cs="Arial"/>
          <w:sz w:val="22"/>
          <w:szCs w:val="22"/>
        </w:rPr>
      </w:pPr>
      <w:r w:rsidRPr="000E2892">
        <w:rPr>
          <w:rFonts w:ascii="Arial" w:hAnsi="Arial" w:cs="Arial"/>
          <w:sz w:val="22"/>
          <w:szCs w:val="22"/>
        </w:rPr>
        <w:t xml:space="preserve">This policy </w:t>
      </w:r>
      <w:r w:rsidR="00F7137A" w:rsidRPr="000E2892">
        <w:rPr>
          <w:rFonts w:ascii="Arial" w:hAnsi="Arial" w:cs="Arial"/>
          <w:sz w:val="22"/>
          <w:szCs w:val="22"/>
        </w:rPr>
        <w:t xml:space="preserve">identifies our expectations concerning business conduct that are essential for companies that do business with </w:t>
      </w:r>
      <w:r w:rsidRPr="000E2892">
        <w:rPr>
          <w:rFonts w:ascii="Arial" w:hAnsi="Arial" w:cs="Arial"/>
          <w:sz w:val="22"/>
          <w:szCs w:val="22"/>
        </w:rPr>
        <w:t>The Tibbetts Group</w:t>
      </w:r>
      <w:r w:rsidR="00F7137A" w:rsidRPr="000E2892">
        <w:rPr>
          <w:rFonts w:ascii="Arial" w:hAnsi="Arial" w:cs="Arial"/>
          <w:sz w:val="22"/>
          <w:szCs w:val="22"/>
        </w:rPr>
        <w:t xml:space="preserve">. We also believe that these Standards will serve to advance the performance of our companies to our mutual benefit. Therefore, compliance with </w:t>
      </w:r>
      <w:r w:rsidRPr="000E2892">
        <w:rPr>
          <w:rFonts w:ascii="Arial" w:hAnsi="Arial" w:cs="Arial"/>
          <w:sz w:val="22"/>
          <w:szCs w:val="22"/>
        </w:rPr>
        <w:t>The Tibbetts Group</w:t>
      </w:r>
      <w:r w:rsidR="004C20F8" w:rsidRPr="000E2892">
        <w:rPr>
          <w:rFonts w:ascii="Arial" w:hAnsi="Arial" w:cs="Arial"/>
          <w:sz w:val="22"/>
          <w:szCs w:val="22"/>
        </w:rPr>
        <w:t xml:space="preserve"> </w:t>
      </w:r>
      <w:r w:rsidR="00444A82">
        <w:rPr>
          <w:rFonts w:ascii="Arial" w:hAnsi="Arial" w:cs="Arial"/>
          <w:sz w:val="22"/>
          <w:szCs w:val="22"/>
        </w:rPr>
        <w:t>Ethical Working Practic</w:t>
      </w:r>
      <w:r w:rsidR="00F7137A" w:rsidRPr="000E2892">
        <w:rPr>
          <w:rFonts w:ascii="Arial" w:hAnsi="Arial" w:cs="Arial"/>
          <w:sz w:val="22"/>
          <w:szCs w:val="22"/>
        </w:rPr>
        <w:t xml:space="preserve">e is a mandatory component of all </w:t>
      </w:r>
      <w:r w:rsidRPr="000E2892">
        <w:rPr>
          <w:rFonts w:ascii="Arial" w:hAnsi="Arial" w:cs="Arial"/>
          <w:sz w:val="22"/>
          <w:szCs w:val="22"/>
        </w:rPr>
        <w:t>The Tibbetts Group</w:t>
      </w:r>
      <w:r w:rsidR="004C20F8" w:rsidRPr="000E2892">
        <w:rPr>
          <w:rFonts w:ascii="Arial" w:hAnsi="Arial" w:cs="Arial"/>
          <w:sz w:val="22"/>
          <w:szCs w:val="22"/>
        </w:rPr>
        <w:t xml:space="preserve"> </w:t>
      </w:r>
      <w:r w:rsidR="00F7137A" w:rsidRPr="000E2892">
        <w:rPr>
          <w:rFonts w:ascii="Arial" w:hAnsi="Arial" w:cs="Arial"/>
          <w:sz w:val="22"/>
          <w:szCs w:val="22"/>
        </w:rPr>
        <w:t xml:space="preserve">purchase </w:t>
      </w:r>
      <w:r w:rsidR="004C20F8" w:rsidRPr="000E2892">
        <w:rPr>
          <w:rFonts w:ascii="Arial" w:hAnsi="Arial" w:cs="Arial"/>
          <w:sz w:val="22"/>
          <w:szCs w:val="22"/>
        </w:rPr>
        <w:t xml:space="preserve">and supply </w:t>
      </w:r>
      <w:r w:rsidR="00F7137A" w:rsidRPr="000E2892">
        <w:rPr>
          <w:rFonts w:ascii="Arial" w:hAnsi="Arial" w:cs="Arial"/>
          <w:sz w:val="22"/>
          <w:szCs w:val="22"/>
        </w:rPr>
        <w:t xml:space="preserve">contracts. </w:t>
      </w:r>
    </w:p>
    <w:p w:rsidR="00F7137A" w:rsidRPr="000E2892" w:rsidRDefault="00F7137A" w:rsidP="000A5F0B">
      <w:pPr>
        <w:pStyle w:val="NormalWeb"/>
        <w:jc w:val="both"/>
        <w:rPr>
          <w:rFonts w:ascii="Arial" w:hAnsi="Arial" w:cs="Arial"/>
          <w:sz w:val="22"/>
          <w:szCs w:val="22"/>
        </w:rPr>
      </w:pPr>
      <w:r w:rsidRPr="000E2892">
        <w:rPr>
          <w:rFonts w:ascii="Arial" w:hAnsi="Arial" w:cs="Arial"/>
          <w:sz w:val="22"/>
          <w:szCs w:val="22"/>
        </w:rPr>
        <w:t>We appreciate your thorough review of the standards set forth in this Guide and to Sign your acceptance at the end of this document.</w:t>
      </w:r>
    </w:p>
    <w:p w:rsidR="00F7137A" w:rsidRPr="000E2892" w:rsidRDefault="00F7137A" w:rsidP="000A5F0B">
      <w:pPr>
        <w:pStyle w:val="NormalWeb"/>
        <w:jc w:val="both"/>
        <w:rPr>
          <w:rFonts w:ascii="Arial" w:hAnsi="Arial" w:cs="Arial"/>
          <w:b/>
          <w:bCs/>
          <w:sz w:val="22"/>
          <w:szCs w:val="22"/>
          <w:u w:val="single"/>
        </w:rPr>
      </w:pPr>
      <w:r w:rsidRPr="000E2892">
        <w:rPr>
          <w:rFonts w:ascii="Arial" w:hAnsi="Arial" w:cs="Arial"/>
          <w:b/>
          <w:bCs/>
          <w:sz w:val="22"/>
          <w:szCs w:val="22"/>
          <w:u w:val="single"/>
        </w:rPr>
        <w:t xml:space="preserve">Respect for People: </w:t>
      </w:r>
    </w:p>
    <w:p w:rsidR="00F7137A" w:rsidRPr="000E2892" w:rsidRDefault="00F7137A" w:rsidP="000A5F0B">
      <w:pPr>
        <w:pStyle w:val="NormalWeb"/>
        <w:jc w:val="both"/>
        <w:rPr>
          <w:rFonts w:ascii="Arial" w:hAnsi="Arial" w:cs="Arial"/>
          <w:sz w:val="22"/>
          <w:szCs w:val="22"/>
        </w:rPr>
      </w:pPr>
      <w:r w:rsidRPr="000E2892">
        <w:rPr>
          <w:rFonts w:ascii="Arial" w:hAnsi="Arial" w:cs="Arial"/>
          <w:sz w:val="22"/>
          <w:szCs w:val="22"/>
        </w:rPr>
        <w:t xml:space="preserve">We expect every </w:t>
      </w:r>
      <w:r w:rsidR="000873CC" w:rsidRPr="000E2892">
        <w:rPr>
          <w:rFonts w:ascii="Arial" w:hAnsi="Arial" w:cs="Arial"/>
          <w:sz w:val="22"/>
          <w:szCs w:val="22"/>
        </w:rPr>
        <w:t>The Tibbetts Group</w:t>
      </w:r>
      <w:r w:rsidR="004C20F8" w:rsidRPr="000E2892">
        <w:rPr>
          <w:rFonts w:ascii="Arial" w:hAnsi="Arial" w:cs="Arial"/>
          <w:sz w:val="22"/>
          <w:szCs w:val="22"/>
        </w:rPr>
        <w:t xml:space="preserve"> </w:t>
      </w:r>
      <w:r w:rsidRPr="000E2892">
        <w:rPr>
          <w:rFonts w:ascii="Arial" w:hAnsi="Arial" w:cs="Arial"/>
          <w:sz w:val="22"/>
          <w:szCs w:val="22"/>
        </w:rPr>
        <w:t xml:space="preserve">supplier to abide by all applicable employment laws. We will not allow the use of any forced or involuntary labour by suppliers who provide goods or services to </w:t>
      </w:r>
      <w:r w:rsidR="000873CC" w:rsidRPr="000E2892">
        <w:rPr>
          <w:rFonts w:ascii="Arial" w:hAnsi="Arial" w:cs="Arial"/>
          <w:sz w:val="22"/>
          <w:szCs w:val="22"/>
        </w:rPr>
        <w:t>The Tibbetts Group</w:t>
      </w:r>
    </w:p>
    <w:p w:rsidR="00F7137A" w:rsidRPr="000E2892" w:rsidRDefault="000873CC" w:rsidP="000A5F0B">
      <w:pPr>
        <w:pStyle w:val="NormalWeb"/>
        <w:jc w:val="both"/>
        <w:rPr>
          <w:rFonts w:ascii="Arial" w:hAnsi="Arial" w:cs="Arial"/>
          <w:sz w:val="22"/>
          <w:szCs w:val="22"/>
        </w:rPr>
      </w:pPr>
      <w:r w:rsidRPr="000E2892">
        <w:rPr>
          <w:rFonts w:ascii="Arial" w:hAnsi="Arial" w:cs="Arial"/>
          <w:sz w:val="22"/>
          <w:szCs w:val="22"/>
        </w:rPr>
        <w:t>The Tibbetts Group</w:t>
      </w:r>
      <w:r w:rsidR="004C20F8" w:rsidRPr="000E2892">
        <w:rPr>
          <w:rFonts w:ascii="Arial" w:hAnsi="Arial" w:cs="Arial"/>
          <w:sz w:val="22"/>
          <w:szCs w:val="22"/>
        </w:rPr>
        <w:t xml:space="preserve"> </w:t>
      </w:r>
      <w:r w:rsidR="00F7137A" w:rsidRPr="000E2892">
        <w:rPr>
          <w:rFonts w:ascii="Arial" w:hAnsi="Arial" w:cs="Arial"/>
          <w:sz w:val="22"/>
          <w:szCs w:val="22"/>
        </w:rPr>
        <w:t xml:space="preserve">also expects its suppliers to provide employee wage and benefit levels that satisfy basic needs in light of local conditions. </w:t>
      </w:r>
    </w:p>
    <w:p w:rsidR="00F7137A" w:rsidRPr="000E2892" w:rsidRDefault="00F7137A" w:rsidP="000A5F0B">
      <w:pPr>
        <w:pStyle w:val="NormalWeb"/>
        <w:jc w:val="both"/>
        <w:rPr>
          <w:rFonts w:ascii="Arial" w:hAnsi="Arial" w:cs="Arial"/>
          <w:b/>
          <w:bCs/>
          <w:sz w:val="22"/>
          <w:szCs w:val="22"/>
          <w:u w:val="single"/>
        </w:rPr>
      </w:pPr>
      <w:r w:rsidRPr="000E2892">
        <w:rPr>
          <w:rFonts w:ascii="Arial" w:hAnsi="Arial" w:cs="Arial"/>
          <w:b/>
          <w:bCs/>
          <w:sz w:val="22"/>
          <w:szCs w:val="22"/>
          <w:u w:val="single"/>
        </w:rPr>
        <w:t xml:space="preserve">Promote a Safe and Positive Workplace: </w:t>
      </w:r>
    </w:p>
    <w:p w:rsidR="00F7137A" w:rsidRPr="000E2892" w:rsidRDefault="000873CC" w:rsidP="000A5F0B">
      <w:pPr>
        <w:pStyle w:val="NormalWeb"/>
        <w:jc w:val="both"/>
        <w:rPr>
          <w:rFonts w:ascii="Arial" w:hAnsi="Arial" w:cs="Arial"/>
          <w:sz w:val="22"/>
          <w:szCs w:val="22"/>
        </w:rPr>
      </w:pPr>
      <w:r w:rsidRPr="000E2892">
        <w:rPr>
          <w:rFonts w:ascii="Arial" w:hAnsi="Arial" w:cs="Arial"/>
          <w:sz w:val="22"/>
          <w:szCs w:val="22"/>
        </w:rPr>
        <w:t>The Tibbetts Group</w:t>
      </w:r>
      <w:r w:rsidR="004C20F8" w:rsidRPr="000E2892">
        <w:rPr>
          <w:rFonts w:ascii="Arial" w:hAnsi="Arial" w:cs="Arial"/>
          <w:sz w:val="22"/>
          <w:szCs w:val="22"/>
        </w:rPr>
        <w:t xml:space="preserve"> </w:t>
      </w:r>
      <w:r w:rsidR="00F7137A" w:rsidRPr="000E2892">
        <w:rPr>
          <w:rFonts w:ascii="Arial" w:hAnsi="Arial" w:cs="Arial"/>
          <w:sz w:val="22"/>
          <w:szCs w:val="22"/>
        </w:rPr>
        <w:t>expects its suppliers to provid</w:t>
      </w:r>
      <w:r w:rsidR="00306F82" w:rsidRPr="000E2892">
        <w:rPr>
          <w:rFonts w:ascii="Arial" w:hAnsi="Arial" w:cs="Arial"/>
          <w:sz w:val="22"/>
          <w:szCs w:val="22"/>
        </w:rPr>
        <w:t xml:space="preserve">e its employees with a safe and </w:t>
      </w:r>
      <w:r w:rsidR="00F7137A" w:rsidRPr="000E2892">
        <w:rPr>
          <w:rFonts w:ascii="Arial" w:hAnsi="Arial" w:cs="Arial"/>
          <w:sz w:val="22"/>
          <w:szCs w:val="22"/>
        </w:rPr>
        <w:t xml:space="preserve">healthy work environment and to abide by all applicable health and safety laws. </w:t>
      </w:r>
    </w:p>
    <w:p w:rsidR="00F7137A" w:rsidRPr="000E2892" w:rsidRDefault="00F7137A" w:rsidP="000A5F0B">
      <w:pPr>
        <w:pStyle w:val="NormalWeb"/>
        <w:jc w:val="both"/>
        <w:rPr>
          <w:rFonts w:ascii="Arial" w:hAnsi="Arial" w:cs="Arial"/>
          <w:b/>
          <w:bCs/>
          <w:sz w:val="22"/>
          <w:szCs w:val="22"/>
          <w:u w:val="single"/>
        </w:rPr>
      </w:pPr>
      <w:r w:rsidRPr="000E2892">
        <w:rPr>
          <w:rFonts w:ascii="Arial" w:hAnsi="Arial" w:cs="Arial"/>
          <w:b/>
          <w:bCs/>
          <w:sz w:val="22"/>
          <w:szCs w:val="22"/>
          <w:u w:val="single"/>
        </w:rPr>
        <w:t xml:space="preserve">Protect our Environment: </w:t>
      </w:r>
    </w:p>
    <w:p w:rsidR="000873CC" w:rsidRPr="000E2892" w:rsidRDefault="00F7137A" w:rsidP="000A5F0B">
      <w:pPr>
        <w:pStyle w:val="NormalWeb"/>
        <w:jc w:val="both"/>
        <w:rPr>
          <w:rFonts w:ascii="Arial" w:hAnsi="Arial" w:cs="Arial"/>
          <w:sz w:val="22"/>
          <w:szCs w:val="22"/>
        </w:rPr>
      </w:pPr>
      <w:r w:rsidRPr="000E2892">
        <w:rPr>
          <w:rFonts w:ascii="Arial" w:hAnsi="Arial" w:cs="Arial"/>
          <w:sz w:val="22"/>
          <w:szCs w:val="22"/>
        </w:rPr>
        <w:t xml:space="preserve">We expect that our suppliers will abide by all local environmental laws and regulations. We also encourage our suppliers to seek external verification concerning their environmental performance, such as through the ISO 14001 certification process. </w:t>
      </w:r>
      <w:r w:rsidR="000873CC" w:rsidRPr="000E2892">
        <w:rPr>
          <w:rFonts w:ascii="Arial" w:hAnsi="Arial" w:cs="Arial"/>
          <w:sz w:val="22"/>
          <w:szCs w:val="22"/>
        </w:rPr>
        <w:t xml:space="preserve"> </w:t>
      </w:r>
    </w:p>
    <w:p w:rsidR="00F7137A" w:rsidRPr="000E2892" w:rsidRDefault="000873CC" w:rsidP="000A5F0B">
      <w:pPr>
        <w:pStyle w:val="NormalWeb"/>
        <w:jc w:val="both"/>
        <w:rPr>
          <w:rFonts w:ascii="Arial" w:hAnsi="Arial" w:cs="Arial"/>
          <w:sz w:val="22"/>
          <w:szCs w:val="22"/>
        </w:rPr>
      </w:pPr>
      <w:r w:rsidRPr="000E2892">
        <w:rPr>
          <w:rFonts w:ascii="Arial" w:hAnsi="Arial" w:cs="Arial"/>
          <w:sz w:val="22"/>
          <w:szCs w:val="22"/>
        </w:rPr>
        <w:t xml:space="preserve">(The Tibbetts Group companies are ISO 14001 certified and the environmental policy is available and copy certificates via the website www.tibbettsgroup.co.uk) </w:t>
      </w:r>
    </w:p>
    <w:p w:rsidR="00F7137A" w:rsidRPr="000E2892" w:rsidRDefault="00F7137A" w:rsidP="000A5F0B">
      <w:pPr>
        <w:pStyle w:val="NormalWeb"/>
        <w:jc w:val="both"/>
        <w:rPr>
          <w:rFonts w:ascii="Arial" w:hAnsi="Arial" w:cs="Arial"/>
          <w:b/>
          <w:bCs/>
          <w:sz w:val="22"/>
          <w:szCs w:val="22"/>
          <w:u w:val="single"/>
        </w:rPr>
      </w:pPr>
      <w:r w:rsidRPr="000E2892">
        <w:rPr>
          <w:rFonts w:ascii="Arial" w:hAnsi="Arial" w:cs="Arial"/>
          <w:b/>
          <w:bCs/>
          <w:sz w:val="22"/>
          <w:szCs w:val="22"/>
          <w:u w:val="single"/>
        </w:rPr>
        <w:t xml:space="preserve">Product Safety: </w:t>
      </w:r>
    </w:p>
    <w:p w:rsidR="00F7137A" w:rsidRPr="000E2892" w:rsidRDefault="000873CC" w:rsidP="000A5F0B">
      <w:pPr>
        <w:pStyle w:val="NormalWeb"/>
        <w:jc w:val="both"/>
        <w:rPr>
          <w:rFonts w:ascii="Arial" w:hAnsi="Arial" w:cs="Arial"/>
          <w:sz w:val="22"/>
          <w:szCs w:val="22"/>
        </w:rPr>
      </w:pPr>
      <w:r w:rsidRPr="000E2892">
        <w:rPr>
          <w:rFonts w:ascii="Arial" w:hAnsi="Arial" w:cs="Arial"/>
          <w:sz w:val="22"/>
          <w:szCs w:val="22"/>
        </w:rPr>
        <w:t>The Tibbetts Group</w:t>
      </w:r>
      <w:r w:rsidR="004C20F8" w:rsidRPr="000E2892">
        <w:rPr>
          <w:rFonts w:ascii="Arial" w:hAnsi="Arial" w:cs="Arial"/>
          <w:sz w:val="22"/>
          <w:szCs w:val="22"/>
        </w:rPr>
        <w:t xml:space="preserve"> </w:t>
      </w:r>
      <w:r w:rsidR="00F7137A" w:rsidRPr="000E2892">
        <w:rPr>
          <w:rFonts w:ascii="Arial" w:hAnsi="Arial" w:cs="Arial"/>
          <w:sz w:val="22"/>
          <w:szCs w:val="22"/>
        </w:rPr>
        <w:t xml:space="preserve">suppliers are expected to take all reasonable safety measures in connection with the design and manufacture of products it sells to </w:t>
      </w:r>
      <w:r w:rsidRPr="000E2892">
        <w:rPr>
          <w:rFonts w:ascii="Arial" w:hAnsi="Arial" w:cs="Arial"/>
          <w:sz w:val="22"/>
          <w:szCs w:val="22"/>
        </w:rPr>
        <w:t>The Tibbetts Group</w:t>
      </w:r>
      <w:r w:rsidR="00F7137A" w:rsidRPr="000E2892">
        <w:rPr>
          <w:rFonts w:ascii="Arial" w:hAnsi="Arial" w:cs="Arial"/>
          <w:sz w:val="22"/>
          <w:szCs w:val="22"/>
        </w:rPr>
        <w:t xml:space="preserve">. It is the obligation of every </w:t>
      </w:r>
      <w:r w:rsidRPr="000E2892">
        <w:rPr>
          <w:rFonts w:ascii="Arial" w:hAnsi="Arial" w:cs="Arial"/>
          <w:sz w:val="22"/>
          <w:szCs w:val="22"/>
        </w:rPr>
        <w:t>Tibbetts Group</w:t>
      </w:r>
      <w:r w:rsidR="004C20F8" w:rsidRPr="000E2892">
        <w:rPr>
          <w:rFonts w:ascii="Arial" w:hAnsi="Arial" w:cs="Arial"/>
          <w:sz w:val="22"/>
          <w:szCs w:val="22"/>
        </w:rPr>
        <w:t xml:space="preserve"> </w:t>
      </w:r>
      <w:r w:rsidR="00F7137A" w:rsidRPr="000E2892">
        <w:rPr>
          <w:rFonts w:ascii="Arial" w:hAnsi="Arial" w:cs="Arial"/>
          <w:sz w:val="22"/>
          <w:szCs w:val="22"/>
        </w:rPr>
        <w:t xml:space="preserve">supplier to inform </w:t>
      </w:r>
      <w:r w:rsidRPr="000E2892">
        <w:rPr>
          <w:rFonts w:ascii="Arial" w:hAnsi="Arial" w:cs="Arial"/>
          <w:sz w:val="22"/>
          <w:szCs w:val="22"/>
        </w:rPr>
        <w:t>The Tibbetts Group</w:t>
      </w:r>
      <w:r w:rsidR="004C20F8" w:rsidRPr="000E2892">
        <w:rPr>
          <w:rFonts w:ascii="Arial" w:hAnsi="Arial" w:cs="Arial"/>
          <w:sz w:val="22"/>
          <w:szCs w:val="22"/>
        </w:rPr>
        <w:t xml:space="preserve"> </w:t>
      </w:r>
      <w:r w:rsidR="00F7137A" w:rsidRPr="000E2892">
        <w:rPr>
          <w:rFonts w:ascii="Arial" w:hAnsi="Arial" w:cs="Arial"/>
          <w:sz w:val="22"/>
          <w:szCs w:val="22"/>
        </w:rPr>
        <w:t xml:space="preserve">immediately if a question concerning safety of a product sold to </w:t>
      </w:r>
      <w:r w:rsidRPr="000E2892">
        <w:rPr>
          <w:rFonts w:ascii="Arial" w:hAnsi="Arial" w:cs="Arial"/>
          <w:sz w:val="22"/>
          <w:szCs w:val="22"/>
        </w:rPr>
        <w:t>The Tibbetts Group</w:t>
      </w:r>
      <w:r w:rsidR="004C20F8" w:rsidRPr="000E2892">
        <w:rPr>
          <w:rFonts w:ascii="Arial" w:hAnsi="Arial" w:cs="Arial"/>
          <w:sz w:val="22"/>
          <w:szCs w:val="22"/>
        </w:rPr>
        <w:t xml:space="preserve"> </w:t>
      </w:r>
      <w:r w:rsidR="00F7137A" w:rsidRPr="000E2892">
        <w:rPr>
          <w:rFonts w:ascii="Arial" w:hAnsi="Arial" w:cs="Arial"/>
          <w:sz w:val="22"/>
          <w:szCs w:val="22"/>
        </w:rPr>
        <w:t xml:space="preserve">arises. </w:t>
      </w:r>
    </w:p>
    <w:p w:rsidR="00F7137A" w:rsidRPr="000E2892" w:rsidRDefault="00F7137A" w:rsidP="000A5F0B">
      <w:pPr>
        <w:pStyle w:val="NormalWeb"/>
        <w:jc w:val="both"/>
        <w:rPr>
          <w:rFonts w:ascii="Arial" w:hAnsi="Arial" w:cs="Arial"/>
          <w:bCs/>
          <w:i/>
          <w:sz w:val="22"/>
          <w:szCs w:val="22"/>
        </w:rPr>
      </w:pPr>
    </w:p>
    <w:p w:rsidR="00F7137A" w:rsidRPr="008C0D47" w:rsidRDefault="00F7137A" w:rsidP="000A5F0B">
      <w:pPr>
        <w:pStyle w:val="NormalWeb"/>
        <w:jc w:val="both"/>
        <w:rPr>
          <w:rFonts w:ascii="Arial" w:hAnsi="Arial" w:cs="Arial"/>
          <w:b/>
          <w:bCs/>
          <w:i/>
          <w:sz w:val="22"/>
          <w:szCs w:val="22"/>
          <w:u w:val="single"/>
        </w:rPr>
      </w:pPr>
    </w:p>
    <w:p w:rsidR="00F7137A" w:rsidRPr="008C0D47" w:rsidRDefault="00F7137A" w:rsidP="000A5F0B">
      <w:pPr>
        <w:pStyle w:val="NormalWeb"/>
        <w:jc w:val="both"/>
        <w:rPr>
          <w:rFonts w:ascii="Arial" w:hAnsi="Arial" w:cs="Arial"/>
          <w:b/>
          <w:bCs/>
          <w:i/>
          <w:sz w:val="22"/>
          <w:szCs w:val="22"/>
          <w:u w:val="single"/>
        </w:rPr>
      </w:pPr>
    </w:p>
    <w:p w:rsidR="00F7137A" w:rsidRPr="008C0D47" w:rsidRDefault="00F7137A" w:rsidP="000A5F0B">
      <w:pPr>
        <w:pStyle w:val="NormalWeb"/>
        <w:jc w:val="both"/>
        <w:rPr>
          <w:rFonts w:ascii="Arial" w:hAnsi="Arial" w:cs="Arial"/>
          <w:b/>
          <w:bCs/>
          <w:i/>
          <w:sz w:val="22"/>
          <w:szCs w:val="22"/>
          <w:u w:val="single"/>
        </w:rPr>
      </w:pPr>
    </w:p>
    <w:p w:rsidR="00F7137A" w:rsidRPr="000E2892" w:rsidRDefault="00F7137A" w:rsidP="000A5F0B">
      <w:pPr>
        <w:pStyle w:val="NormalWeb"/>
        <w:jc w:val="both"/>
        <w:rPr>
          <w:rFonts w:ascii="Arial" w:hAnsi="Arial" w:cs="Arial"/>
          <w:b/>
          <w:sz w:val="22"/>
          <w:szCs w:val="22"/>
          <w:u w:val="single"/>
        </w:rPr>
      </w:pPr>
      <w:r w:rsidRPr="000E2892">
        <w:rPr>
          <w:rFonts w:ascii="Arial" w:hAnsi="Arial" w:cs="Arial"/>
          <w:b/>
          <w:bCs/>
          <w:sz w:val="22"/>
          <w:szCs w:val="22"/>
          <w:u w:val="single"/>
        </w:rPr>
        <w:lastRenderedPageBreak/>
        <w:t xml:space="preserve">Gifts, Favours and Entertainment: </w:t>
      </w:r>
      <w:r w:rsidRPr="000E2892">
        <w:rPr>
          <w:rFonts w:ascii="Arial" w:hAnsi="Arial" w:cs="Arial"/>
          <w:b/>
          <w:sz w:val="22"/>
          <w:szCs w:val="22"/>
          <w:u w:val="single"/>
        </w:rPr>
        <w:t xml:space="preserve"> </w:t>
      </w:r>
    </w:p>
    <w:p w:rsidR="00F7137A" w:rsidRPr="000E2892" w:rsidRDefault="000873CC" w:rsidP="000A5F0B">
      <w:pPr>
        <w:pStyle w:val="NormalWeb"/>
        <w:jc w:val="both"/>
        <w:rPr>
          <w:rFonts w:ascii="Arial" w:hAnsi="Arial" w:cs="Arial"/>
          <w:sz w:val="22"/>
          <w:szCs w:val="22"/>
        </w:rPr>
      </w:pPr>
      <w:r w:rsidRPr="000E2892">
        <w:rPr>
          <w:rFonts w:ascii="Arial" w:hAnsi="Arial" w:cs="Arial"/>
          <w:sz w:val="22"/>
          <w:szCs w:val="22"/>
        </w:rPr>
        <w:t>The Tibbetts Group</w:t>
      </w:r>
      <w:r w:rsidR="004C20F8" w:rsidRPr="000E2892">
        <w:rPr>
          <w:rFonts w:ascii="Arial" w:hAnsi="Arial" w:cs="Arial"/>
          <w:sz w:val="22"/>
          <w:szCs w:val="22"/>
        </w:rPr>
        <w:t xml:space="preserve"> </w:t>
      </w:r>
      <w:r w:rsidR="00F7137A" w:rsidRPr="000E2892">
        <w:rPr>
          <w:rFonts w:ascii="Arial" w:hAnsi="Arial" w:cs="Arial"/>
          <w:sz w:val="22"/>
          <w:szCs w:val="22"/>
        </w:rPr>
        <w:t xml:space="preserve">will select its suppliers on the basis of total value, including quality, price and services offered. Therefore, suppliers should not give gifts, favours or entertainment to </w:t>
      </w:r>
      <w:r w:rsidRPr="000E2892">
        <w:rPr>
          <w:rFonts w:ascii="Arial" w:hAnsi="Arial" w:cs="Arial"/>
          <w:sz w:val="22"/>
          <w:szCs w:val="22"/>
        </w:rPr>
        <w:t>The Tibbetts Group</w:t>
      </w:r>
      <w:r w:rsidR="004C20F8" w:rsidRPr="000E2892">
        <w:rPr>
          <w:rFonts w:ascii="Arial" w:hAnsi="Arial" w:cs="Arial"/>
          <w:sz w:val="22"/>
          <w:szCs w:val="22"/>
        </w:rPr>
        <w:t xml:space="preserve"> </w:t>
      </w:r>
      <w:r w:rsidR="00F7137A" w:rsidRPr="000E2892">
        <w:rPr>
          <w:rFonts w:ascii="Arial" w:hAnsi="Arial" w:cs="Arial"/>
          <w:sz w:val="22"/>
          <w:szCs w:val="22"/>
        </w:rPr>
        <w:t xml:space="preserve">employees that is of any monetary value or that is inappropriate or unbecoming. While the personal relationships that we form during the course of our business activities are a rewarding aspect of our association, </w:t>
      </w:r>
      <w:r w:rsidRPr="000E2892">
        <w:rPr>
          <w:rFonts w:ascii="Arial" w:hAnsi="Arial" w:cs="Arial"/>
          <w:sz w:val="22"/>
          <w:szCs w:val="22"/>
        </w:rPr>
        <w:t>The Tibbetts Group</w:t>
      </w:r>
      <w:r w:rsidR="004C20F8" w:rsidRPr="000E2892">
        <w:rPr>
          <w:rFonts w:ascii="Arial" w:hAnsi="Arial" w:cs="Arial"/>
          <w:sz w:val="22"/>
          <w:szCs w:val="22"/>
        </w:rPr>
        <w:t xml:space="preserve"> </w:t>
      </w:r>
      <w:r w:rsidR="00F7137A" w:rsidRPr="000E2892">
        <w:rPr>
          <w:rFonts w:ascii="Arial" w:hAnsi="Arial" w:cs="Arial"/>
          <w:sz w:val="22"/>
          <w:szCs w:val="22"/>
        </w:rPr>
        <w:t xml:space="preserve">employees are not allowed to use these relationships as a basis for making a purchasing source selection. You must respect this expectation and not try to unfairly influence a purchasing source selection through inappropriate gratuities. And, if a </w:t>
      </w:r>
      <w:r w:rsidRPr="000E2892">
        <w:rPr>
          <w:rFonts w:ascii="Arial" w:hAnsi="Arial" w:cs="Arial"/>
          <w:sz w:val="22"/>
          <w:szCs w:val="22"/>
        </w:rPr>
        <w:t>The Tibbetts Group</w:t>
      </w:r>
      <w:r w:rsidR="004C20F8" w:rsidRPr="000E2892">
        <w:rPr>
          <w:rFonts w:ascii="Arial" w:hAnsi="Arial" w:cs="Arial"/>
          <w:sz w:val="22"/>
          <w:szCs w:val="22"/>
        </w:rPr>
        <w:t xml:space="preserve"> </w:t>
      </w:r>
      <w:r w:rsidR="00F7137A" w:rsidRPr="000E2892">
        <w:rPr>
          <w:rFonts w:ascii="Arial" w:hAnsi="Arial" w:cs="Arial"/>
          <w:sz w:val="22"/>
          <w:szCs w:val="22"/>
        </w:rPr>
        <w:t xml:space="preserve">employee solicits you for a gift or a favour, you should report that matter to a Director of </w:t>
      </w:r>
      <w:r w:rsidRPr="000E2892">
        <w:rPr>
          <w:rFonts w:ascii="Arial" w:hAnsi="Arial" w:cs="Arial"/>
          <w:sz w:val="22"/>
          <w:szCs w:val="22"/>
        </w:rPr>
        <w:t>The Tibbetts Group</w:t>
      </w:r>
      <w:r w:rsidR="00F7137A" w:rsidRPr="000E2892">
        <w:rPr>
          <w:rFonts w:ascii="Arial" w:hAnsi="Arial" w:cs="Arial"/>
          <w:sz w:val="22"/>
          <w:szCs w:val="22"/>
        </w:rPr>
        <w:t xml:space="preserve">. </w:t>
      </w:r>
    </w:p>
    <w:p w:rsidR="000873CC" w:rsidRPr="000E2892" w:rsidRDefault="000873CC" w:rsidP="000873CC">
      <w:pPr>
        <w:pStyle w:val="NormalWeb"/>
        <w:jc w:val="both"/>
        <w:rPr>
          <w:rFonts w:ascii="Arial" w:hAnsi="Arial" w:cs="Arial"/>
          <w:sz w:val="22"/>
          <w:szCs w:val="22"/>
        </w:rPr>
      </w:pPr>
      <w:r w:rsidRPr="000E2892">
        <w:rPr>
          <w:rFonts w:ascii="Arial" w:hAnsi="Arial" w:cs="Arial"/>
          <w:sz w:val="22"/>
          <w:szCs w:val="22"/>
        </w:rPr>
        <w:t xml:space="preserve">(The Tibbetts Group companies HR policy HR04 – Anti Bribery and Corruption policy is available to all employees) </w:t>
      </w:r>
    </w:p>
    <w:p w:rsidR="00F7137A" w:rsidRPr="000E2892" w:rsidRDefault="00F7137A" w:rsidP="000A5F0B">
      <w:pPr>
        <w:pStyle w:val="NormalWeb"/>
        <w:jc w:val="both"/>
        <w:rPr>
          <w:rFonts w:ascii="Arial" w:hAnsi="Arial" w:cs="Arial"/>
          <w:b/>
          <w:bCs/>
          <w:sz w:val="22"/>
          <w:szCs w:val="22"/>
        </w:rPr>
      </w:pPr>
      <w:r w:rsidRPr="000E2892">
        <w:rPr>
          <w:rFonts w:ascii="Arial" w:hAnsi="Arial" w:cs="Arial"/>
          <w:b/>
          <w:bCs/>
          <w:sz w:val="22"/>
          <w:szCs w:val="22"/>
          <w:u w:val="single"/>
        </w:rPr>
        <w:t>Negotiating, Fairly and Honestly</w:t>
      </w:r>
      <w:r w:rsidRPr="000E2892">
        <w:rPr>
          <w:rFonts w:ascii="Arial" w:hAnsi="Arial" w:cs="Arial"/>
          <w:b/>
          <w:bCs/>
          <w:sz w:val="22"/>
          <w:szCs w:val="22"/>
        </w:rPr>
        <w:t xml:space="preserve">:  </w:t>
      </w:r>
    </w:p>
    <w:p w:rsidR="00F7137A" w:rsidRPr="000E2892" w:rsidRDefault="00F7137A" w:rsidP="000A5F0B">
      <w:pPr>
        <w:pStyle w:val="NormalWeb"/>
        <w:jc w:val="both"/>
        <w:rPr>
          <w:rFonts w:ascii="Arial" w:hAnsi="Arial" w:cs="Arial"/>
          <w:sz w:val="22"/>
          <w:szCs w:val="22"/>
        </w:rPr>
      </w:pPr>
      <w:r w:rsidRPr="000E2892">
        <w:rPr>
          <w:rFonts w:ascii="Arial" w:hAnsi="Arial" w:cs="Arial"/>
          <w:sz w:val="22"/>
          <w:szCs w:val="22"/>
        </w:rPr>
        <w:t xml:space="preserve">Information which you give to </w:t>
      </w:r>
      <w:r w:rsidR="000873CC" w:rsidRPr="000E2892">
        <w:rPr>
          <w:rFonts w:ascii="Arial" w:hAnsi="Arial" w:cs="Arial"/>
          <w:sz w:val="22"/>
          <w:szCs w:val="22"/>
        </w:rPr>
        <w:t>The Tibbetts Group</w:t>
      </w:r>
      <w:r w:rsidR="004C20F8" w:rsidRPr="000E2892">
        <w:rPr>
          <w:rFonts w:ascii="Arial" w:hAnsi="Arial" w:cs="Arial"/>
          <w:sz w:val="22"/>
          <w:szCs w:val="22"/>
        </w:rPr>
        <w:t xml:space="preserve"> </w:t>
      </w:r>
      <w:r w:rsidRPr="000E2892">
        <w:rPr>
          <w:rFonts w:ascii="Arial" w:hAnsi="Arial" w:cs="Arial"/>
          <w:sz w:val="22"/>
          <w:szCs w:val="22"/>
        </w:rPr>
        <w:t xml:space="preserve">during the course of negotiations must be accurate. You must not attempt to improperly influence the course of negotiations through any deceptive means. You must abide by all laws and regulations that may affect our business together, including laws related to fair competition and trade practices. </w:t>
      </w:r>
    </w:p>
    <w:p w:rsidR="000873CC" w:rsidRPr="000E2892" w:rsidRDefault="00F7137A" w:rsidP="000A5F0B">
      <w:pPr>
        <w:pStyle w:val="NormalWeb"/>
        <w:jc w:val="both"/>
        <w:rPr>
          <w:rFonts w:ascii="Arial" w:hAnsi="Arial" w:cs="Arial"/>
          <w:b/>
          <w:bCs/>
          <w:sz w:val="22"/>
          <w:szCs w:val="22"/>
        </w:rPr>
      </w:pPr>
      <w:r w:rsidRPr="000E2892">
        <w:rPr>
          <w:rFonts w:ascii="Arial" w:hAnsi="Arial" w:cs="Arial"/>
          <w:b/>
          <w:bCs/>
          <w:sz w:val="22"/>
          <w:szCs w:val="22"/>
          <w:u w:val="single"/>
        </w:rPr>
        <w:t>Good Ethics is Good Business</w:t>
      </w:r>
      <w:r w:rsidR="000873CC" w:rsidRPr="000E2892">
        <w:rPr>
          <w:rFonts w:ascii="Arial" w:hAnsi="Arial" w:cs="Arial"/>
          <w:b/>
          <w:bCs/>
          <w:sz w:val="22"/>
          <w:szCs w:val="22"/>
        </w:rPr>
        <w:t xml:space="preserve">: </w:t>
      </w:r>
    </w:p>
    <w:p w:rsidR="00F7137A" w:rsidRPr="000E2892" w:rsidRDefault="000873CC" w:rsidP="000A5F0B">
      <w:pPr>
        <w:pStyle w:val="NormalWeb"/>
        <w:jc w:val="both"/>
        <w:rPr>
          <w:rFonts w:ascii="Arial" w:hAnsi="Arial" w:cs="Arial"/>
          <w:b/>
          <w:bCs/>
          <w:sz w:val="22"/>
          <w:szCs w:val="22"/>
        </w:rPr>
      </w:pPr>
      <w:r w:rsidRPr="000E2892">
        <w:rPr>
          <w:rFonts w:ascii="Arial" w:hAnsi="Arial" w:cs="Arial"/>
          <w:bCs/>
          <w:sz w:val="22"/>
          <w:szCs w:val="22"/>
        </w:rPr>
        <w:t>In</w:t>
      </w:r>
      <w:r w:rsidRPr="000E2892">
        <w:rPr>
          <w:rFonts w:ascii="Arial" w:hAnsi="Arial" w:cs="Arial"/>
          <w:sz w:val="22"/>
          <w:szCs w:val="22"/>
        </w:rPr>
        <w:t xml:space="preserve"> our partnership in business</w:t>
      </w:r>
      <w:r w:rsidR="00F7137A" w:rsidRPr="000E2892">
        <w:rPr>
          <w:rFonts w:ascii="Arial" w:hAnsi="Arial" w:cs="Arial"/>
          <w:sz w:val="22"/>
          <w:szCs w:val="22"/>
        </w:rPr>
        <w:t xml:space="preserve"> together, we believe that adherence to the above principles will serve both of our companies well. If you have any questions concerning whether particular conduct related to your supply of goods or services to </w:t>
      </w:r>
      <w:r w:rsidRPr="000E2892">
        <w:rPr>
          <w:rFonts w:ascii="Arial" w:hAnsi="Arial" w:cs="Arial"/>
          <w:sz w:val="22"/>
          <w:szCs w:val="22"/>
        </w:rPr>
        <w:t>The Tibbetts Group</w:t>
      </w:r>
      <w:r w:rsidR="004C20F8" w:rsidRPr="000E2892">
        <w:rPr>
          <w:rFonts w:ascii="Arial" w:hAnsi="Arial" w:cs="Arial"/>
          <w:sz w:val="22"/>
          <w:szCs w:val="22"/>
        </w:rPr>
        <w:t xml:space="preserve"> </w:t>
      </w:r>
      <w:r w:rsidR="00F7137A" w:rsidRPr="000E2892">
        <w:rPr>
          <w:rFonts w:ascii="Arial" w:hAnsi="Arial" w:cs="Arial"/>
          <w:sz w:val="22"/>
          <w:szCs w:val="22"/>
        </w:rPr>
        <w:t xml:space="preserve">is appropriate, we invite you bring that matter to the attention of your business contact at </w:t>
      </w:r>
      <w:r w:rsidRPr="000E2892">
        <w:rPr>
          <w:rFonts w:ascii="Arial" w:hAnsi="Arial" w:cs="Arial"/>
          <w:sz w:val="22"/>
          <w:szCs w:val="22"/>
        </w:rPr>
        <w:t>The Tibbetts Group</w:t>
      </w:r>
      <w:r w:rsidR="00F7137A" w:rsidRPr="000E2892">
        <w:rPr>
          <w:rFonts w:ascii="Arial" w:hAnsi="Arial" w:cs="Arial"/>
          <w:sz w:val="22"/>
          <w:szCs w:val="22"/>
        </w:rPr>
        <w:t xml:space="preserve">. He or she will provide assistance or will seek additional guidance as appropriate. </w:t>
      </w:r>
    </w:p>
    <w:p w:rsidR="00F7137A" w:rsidRPr="000E2892" w:rsidRDefault="00F7137A" w:rsidP="000A5F0B">
      <w:pPr>
        <w:pStyle w:val="NormalWeb"/>
        <w:jc w:val="both"/>
        <w:rPr>
          <w:rFonts w:ascii="Arial" w:hAnsi="Arial" w:cs="Arial"/>
          <w:sz w:val="22"/>
          <w:szCs w:val="22"/>
        </w:rPr>
      </w:pPr>
      <w:r w:rsidRPr="000E2892">
        <w:rPr>
          <w:rFonts w:ascii="Arial" w:hAnsi="Arial" w:cs="Arial"/>
          <w:sz w:val="22"/>
          <w:szCs w:val="22"/>
        </w:rPr>
        <w:t>If you are happy with our supplier expectations please sign below:</w:t>
      </w:r>
    </w:p>
    <w:tbl>
      <w:tblPr>
        <w:tblStyle w:val="TableGrid"/>
        <w:tblW w:w="8559" w:type="dxa"/>
        <w:tblInd w:w="108" w:type="dxa"/>
        <w:tblLook w:val="04A0" w:firstRow="1" w:lastRow="0" w:firstColumn="1" w:lastColumn="0" w:noHBand="0" w:noVBand="1"/>
      </w:tblPr>
      <w:tblGrid>
        <w:gridCol w:w="1876"/>
        <w:gridCol w:w="6683"/>
      </w:tblGrid>
      <w:tr w:rsidR="000873CC" w:rsidRPr="008C0D47" w:rsidTr="00477D03">
        <w:trPr>
          <w:trHeight w:val="509"/>
        </w:trPr>
        <w:tc>
          <w:tcPr>
            <w:tcW w:w="1876" w:type="dxa"/>
            <w:shd w:val="clear" w:color="auto" w:fill="0060A9"/>
            <w:vAlign w:val="center"/>
          </w:tcPr>
          <w:p w:rsidR="000873CC" w:rsidRPr="008C0D47" w:rsidRDefault="000873CC" w:rsidP="000873CC">
            <w:pPr>
              <w:pStyle w:val="NormalWeb"/>
              <w:rPr>
                <w:rFonts w:ascii="Arial" w:hAnsi="Arial" w:cs="Arial"/>
                <w:b/>
                <w:color w:val="FFFFFF" w:themeColor="background1"/>
                <w:sz w:val="22"/>
                <w:szCs w:val="22"/>
              </w:rPr>
            </w:pPr>
            <w:r w:rsidRPr="008C0D47">
              <w:rPr>
                <w:rFonts w:ascii="Arial" w:hAnsi="Arial" w:cs="Arial"/>
                <w:b/>
                <w:color w:val="FFFFFF" w:themeColor="background1"/>
                <w:sz w:val="22"/>
                <w:szCs w:val="22"/>
              </w:rPr>
              <w:t>Name</w:t>
            </w:r>
          </w:p>
        </w:tc>
        <w:tc>
          <w:tcPr>
            <w:tcW w:w="6683" w:type="dxa"/>
          </w:tcPr>
          <w:p w:rsidR="000873CC" w:rsidRPr="008C0D47" w:rsidRDefault="000873CC" w:rsidP="00F7137A">
            <w:pPr>
              <w:pStyle w:val="NormalWeb"/>
              <w:jc w:val="both"/>
              <w:rPr>
                <w:rFonts w:ascii="Arial" w:hAnsi="Arial" w:cs="Arial"/>
                <w:sz w:val="22"/>
                <w:szCs w:val="22"/>
              </w:rPr>
            </w:pPr>
          </w:p>
        </w:tc>
      </w:tr>
      <w:tr w:rsidR="000873CC" w:rsidRPr="008C0D47" w:rsidTr="00477D03">
        <w:trPr>
          <w:trHeight w:val="1158"/>
        </w:trPr>
        <w:tc>
          <w:tcPr>
            <w:tcW w:w="1876" w:type="dxa"/>
            <w:shd w:val="clear" w:color="auto" w:fill="0060A9"/>
            <w:vAlign w:val="center"/>
          </w:tcPr>
          <w:p w:rsidR="000873CC" w:rsidRPr="008C0D47" w:rsidRDefault="000873CC" w:rsidP="000873CC">
            <w:pPr>
              <w:pStyle w:val="NormalWeb"/>
              <w:rPr>
                <w:rFonts w:ascii="Arial" w:hAnsi="Arial" w:cs="Arial"/>
                <w:b/>
                <w:color w:val="FFFFFF" w:themeColor="background1"/>
                <w:sz w:val="22"/>
                <w:szCs w:val="22"/>
              </w:rPr>
            </w:pPr>
            <w:r w:rsidRPr="008C0D47">
              <w:rPr>
                <w:rFonts w:ascii="Arial" w:hAnsi="Arial" w:cs="Arial"/>
                <w:b/>
                <w:color w:val="FFFFFF" w:themeColor="background1"/>
                <w:sz w:val="22"/>
                <w:szCs w:val="22"/>
              </w:rPr>
              <w:t>On behalf of</w:t>
            </w:r>
          </w:p>
        </w:tc>
        <w:tc>
          <w:tcPr>
            <w:tcW w:w="6683" w:type="dxa"/>
          </w:tcPr>
          <w:p w:rsidR="000873CC" w:rsidRPr="008C0D47" w:rsidRDefault="000873CC" w:rsidP="00F7137A">
            <w:pPr>
              <w:pStyle w:val="NormalWeb"/>
              <w:jc w:val="both"/>
              <w:rPr>
                <w:rFonts w:ascii="Arial" w:hAnsi="Arial" w:cs="Arial"/>
                <w:sz w:val="22"/>
                <w:szCs w:val="22"/>
              </w:rPr>
            </w:pPr>
          </w:p>
        </w:tc>
      </w:tr>
      <w:tr w:rsidR="000873CC" w:rsidRPr="008C0D47" w:rsidTr="00477D03">
        <w:trPr>
          <w:trHeight w:val="509"/>
        </w:trPr>
        <w:tc>
          <w:tcPr>
            <w:tcW w:w="1876" w:type="dxa"/>
            <w:shd w:val="clear" w:color="auto" w:fill="0060A9"/>
            <w:vAlign w:val="center"/>
          </w:tcPr>
          <w:p w:rsidR="000873CC" w:rsidRPr="008C0D47" w:rsidRDefault="000873CC" w:rsidP="000873CC">
            <w:pPr>
              <w:pStyle w:val="NormalWeb"/>
              <w:rPr>
                <w:rFonts w:ascii="Arial" w:hAnsi="Arial" w:cs="Arial"/>
                <w:b/>
                <w:color w:val="FFFFFF" w:themeColor="background1"/>
                <w:sz w:val="22"/>
                <w:szCs w:val="22"/>
              </w:rPr>
            </w:pPr>
            <w:r w:rsidRPr="008C0D47">
              <w:rPr>
                <w:rFonts w:ascii="Arial" w:hAnsi="Arial" w:cs="Arial"/>
                <w:b/>
                <w:color w:val="FFFFFF" w:themeColor="background1"/>
                <w:sz w:val="22"/>
                <w:szCs w:val="22"/>
              </w:rPr>
              <w:t>Date</w:t>
            </w:r>
          </w:p>
        </w:tc>
        <w:tc>
          <w:tcPr>
            <w:tcW w:w="6683" w:type="dxa"/>
          </w:tcPr>
          <w:p w:rsidR="000873CC" w:rsidRPr="008C0D47" w:rsidRDefault="000873CC" w:rsidP="00F7137A">
            <w:pPr>
              <w:pStyle w:val="NormalWeb"/>
              <w:jc w:val="both"/>
              <w:rPr>
                <w:rFonts w:ascii="Arial" w:hAnsi="Arial" w:cs="Arial"/>
                <w:sz w:val="22"/>
                <w:szCs w:val="22"/>
              </w:rPr>
            </w:pPr>
          </w:p>
        </w:tc>
      </w:tr>
    </w:tbl>
    <w:p w:rsidR="00506AFC" w:rsidRPr="00F7137A" w:rsidRDefault="00506AFC" w:rsidP="000873CC">
      <w:pPr>
        <w:pStyle w:val="NormalWeb"/>
        <w:jc w:val="both"/>
      </w:pPr>
    </w:p>
    <w:sectPr w:rsidR="00506AFC" w:rsidRPr="00F7137A" w:rsidSect="000E2892">
      <w:head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1A0" w:rsidRDefault="00BA41A0" w:rsidP="00AA42C3">
      <w:r>
        <w:separator/>
      </w:r>
    </w:p>
  </w:endnote>
  <w:endnote w:type="continuationSeparator" w:id="0">
    <w:p w:rsidR="00BA41A0" w:rsidRDefault="00BA41A0" w:rsidP="00AA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892" w:rsidRPr="00477D03" w:rsidRDefault="005E7851" w:rsidP="00477D03">
    <w:pPr>
      <w:pStyle w:val="Footer"/>
      <w:tabs>
        <w:tab w:val="clear" w:pos="4320"/>
        <w:tab w:val="clear" w:pos="8640"/>
        <w:tab w:val="center" w:pos="2694"/>
        <w:tab w:val="right" w:pos="6379"/>
      </w:tabs>
      <w:ind w:left="-426" w:right="-347"/>
      <w:rPr>
        <w:rFonts w:ascii="Arial" w:hAnsi="Arial" w:cs="Arial"/>
        <w:sz w:val="20"/>
        <w:szCs w:val="20"/>
      </w:rPr>
    </w:pPr>
    <w:r w:rsidRPr="00477D03">
      <w:rPr>
        <w:rFonts w:ascii="Arial" w:hAnsi="Arial" w:cs="Arial"/>
        <w:sz w:val="20"/>
        <w:szCs w:val="20"/>
      </w:rPr>
      <w:t>HR</w:t>
    </w:r>
    <w:r w:rsidR="0033507A" w:rsidRPr="00477D03">
      <w:rPr>
        <w:rFonts w:ascii="Arial" w:hAnsi="Arial" w:cs="Arial"/>
        <w:sz w:val="20"/>
        <w:szCs w:val="20"/>
      </w:rPr>
      <w:t>01</w:t>
    </w:r>
    <w:r w:rsidR="00477D03" w:rsidRPr="00477D03">
      <w:rPr>
        <w:rFonts w:ascii="Arial" w:hAnsi="Arial" w:cs="Arial"/>
        <w:sz w:val="20"/>
        <w:szCs w:val="20"/>
      </w:rPr>
      <w:tab/>
    </w:r>
    <w:r w:rsidR="000E2892" w:rsidRPr="00477D03">
      <w:rPr>
        <w:rFonts w:ascii="Arial" w:hAnsi="Arial" w:cs="Arial"/>
        <w:sz w:val="20"/>
        <w:szCs w:val="20"/>
      </w:rPr>
      <w:t>Owne</w:t>
    </w:r>
    <w:r w:rsidR="00477D03" w:rsidRPr="00477D03">
      <w:rPr>
        <w:rFonts w:ascii="Arial" w:hAnsi="Arial" w:cs="Arial"/>
        <w:sz w:val="20"/>
        <w:szCs w:val="20"/>
      </w:rPr>
      <w:t xml:space="preserve">r: </w:t>
    </w:r>
    <w:r w:rsidR="00827754">
      <w:rPr>
        <w:rFonts w:ascii="Arial" w:hAnsi="Arial" w:cs="Arial"/>
        <w:sz w:val="20"/>
        <w:szCs w:val="20"/>
      </w:rPr>
      <w:t>Purchasing</w:t>
    </w:r>
    <w:r w:rsidR="00477D03" w:rsidRPr="00477D03">
      <w:rPr>
        <w:rFonts w:ascii="Arial" w:hAnsi="Arial" w:cs="Arial"/>
        <w:sz w:val="20"/>
        <w:szCs w:val="20"/>
      </w:rPr>
      <w:tab/>
    </w:r>
    <w:r w:rsidR="0033507A" w:rsidRPr="00477D03">
      <w:rPr>
        <w:rFonts w:ascii="Arial" w:hAnsi="Arial" w:cs="Arial"/>
        <w:sz w:val="20"/>
        <w:szCs w:val="20"/>
      </w:rPr>
      <w:t xml:space="preserve">Issue </w:t>
    </w:r>
    <w:r w:rsidR="00477D03" w:rsidRPr="00477D03">
      <w:rPr>
        <w:rFonts w:ascii="Arial" w:hAnsi="Arial" w:cs="Arial"/>
        <w:sz w:val="20"/>
        <w:szCs w:val="20"/>
      </w:rPr>
      <w:t>7</w:t>
    </w:r>
    <w:r w:rsidR="0033507A" w:rsidRPr="00477D03">
      <w:rPr>
        <w:rFonts w:ascii="Arial" w:hAnsi="Arial" w:cs="Arial"/>
        <w:sz w:val="20"/>
        <w:szCs w:val="20"/>
      </w:rPr>
      <w:t xml:space="preserve"> – </w:t>
    </w:r>
    <w:r w:rsidR="00477D03" w:rsidRPr="00477D03">
      <w:rPr>
        <w:rFonts w:ascii="Arial" w:hAnsi="Arial" w:cs="Arial"/>
        <w:sz w:val="20"/>
        <w:szCs w:val="20"/>
      </w:rPr>
      <w:t>26.02.2020</w:t>
    </w:r>
    <w:r w:rsidR="00477D03" w:rsidRPr="00477D03">
      <w:rPr>
        <w:rFonts w:ascii="Arial" w:hAnsi="Arial" w:cs="Arial"/>
        <w:sz w:val="20"/>
        <w:szCs w:val="20"/>
      </w:rPr>
      <w:tab/>
    </w:r>
    <w:r w:rsidR="00477D03" w:rsidRPr="00477D03">
      <w:rPr>
        <w:rFonts w:ascii="Arial" w:hAnsi="Arial" w:cs="Arial"/>
        <w:sz w:val="20"/>
        <w:szCs w:val="20"/>
      </w:rPr>
      <w:tab/>
      <w:t xml:space="preserve">Page </w:t>
    </w:r>
    <w:r w:rsidR="00477D03" w:rsidRPr="00477D03">
      <w:rPr>
        <w:rFonts w:ascii="Arial" w:hAnsi="Arial" w:cs="Arial"/>
        <w:sz w:val="20"/>
        <w:szCs w:val="20"/>
      </w:rPr>
      <w:fldChar w:fldCharType="begin"/>
    </w:r>
    <w:r w:rsidR="00477D03" w:rsidRPr="00477D03">
      <w:rPr>
        <w:rFonts w:ascii="Arial" w:hAnsi="Arial" w:cs="Arial"/>
        <w:sz w:val="20"/>
        <w:szCs w:val="20"/>
      </w:rPr>
      <w:instrText xml:space="preserve"> PAGE  \* Arabic  \* MERGEFORMAT </w:instrText>
    </w:r>
    <w:r w:rsidR="00477D03" w:rsidRPr="00477D03">
      <w:rPr>
        <w:rFonts w:ascii="Arial" w:hAnsi="Arial" w:cs="Arial"/>
        <w:sz w:val="20"/>
        <w:szCs w:val="20"/>
      </w:rPr>
      <w:fldChar w:fldCharType="separate"/>
    </w:r>
    <w:r w:rsidR="003064D9">
      <w:rPr>
        <w:rFonts w:ascii="Arial" w:hAnsi="Arial" w:cs="Arial"/>
        <w:noProof/>
        <w:sz w:val="20"/>
        <w:szCs w:val="20"/>
      </w:rPr>
      <w:t>1</w:t>
    </w:r>
    <w:r w:rsidR="00477D03" w:rsidRPr="00477D03">
      <w:rPr>
        <w:rFonts w:ascii="Arial" w:hAnsi="Arial" w:cs="Arial"/>
        <w:sz w:val="20"/>
        <w:szCs w:val="20"/>
      </w:rPr>
      <w:fldChar w:fldCharType="end"/>
    </w:r>
    <w:r w:rsidR="00477D03" w:rsidRPr="00477D03">
      <w:rPr>
        <w:rFonts w:ascii="Arial" w:hAnsi="Arial" w:cs="Arial"/>
        <w:sz w:val="20"/>
        <w:szCs w:val="20"/>
      </w:rPr>
      <w:t xml:space="preserve"> of </w:t>
    </w:r>
    <w:r w:rsidR="00477D03" w:rsidRPr="00477D03">
      <w:rPr>
        <w:rFonts w:ascii="Arial" w:hAnsi="Arial" w:cs="Arial"/>
        <w:sz w:val="20"/>
        <w:szCs w:val="20"/>
      </w:rPr>
      <w:fldChar w:fldCharType="begin"/>
    </w:r>
    <w:r w:rsidR="00477D03" w:rsidRPr="00477D03">
      <w:rPr>
        <w:rFonts w:ascii="Arial" w:hAnsi="Arial" w:cs="Arial"/>
        <w:sz w:val="20"/>
        <w:szCs w:val="20"/>
      </w:rPr>
      <w:instrText xml:space="preserve"> NUMPAGES  \* Arabic  \* MERGEFORMAT </w:instrText>
    </w:r>
    <w:r w:rsidR="00477D03" w:rsidRPr="00477D03">
      <w:rPr>
        <w:rFonts w:ascii="Arial" w:hAnsi="Arial" w:cs="Arial"/>
        <w:sz w:val="20"/>
        <w:szCs w:val="20"/>
      </w:rPr>
      <w:fldChar w:fldCharType="separate"/>
    </w:r>
    <w:r w:rsidR="003064D9">
      <w:rPr>
        <w:rFonts w:ascii="Arial" w:hAnsi="Arial" w:cs="Arial"/>
        <w:noProof/>
        <w:sz w:val="20"/>
        <w:szCs w:val="20"/>
      </w:rPr>
      <w:t>3</w:t>
    </w:r>
    <w:r w:rsidR="00477D03" w:rsidRPr="00477D03">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1A0" w:rsidRDefault="00BA41A0" w:rsidP="00AA42C3">
      <w:r>
        <w:separator/>
      </w:r>
    </w:p>
  </w:footnote>
  <w:footnote w:type="continuationSeparator" w:id="0">
    <w:p w:rsidR="00BA41A0" w:rsidRDefault="00BA41A0" w:rsidP="00AA4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2C3" w:rsidRDefault="003064D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2pt;height:841.9pt;z-index:-251658752;mso-wrap-edited:f;mso-position-horizontal:center;mso-position-horizontal-relative:margin;mso-position-vertical:center;mso-position-vertical-relative:margin" wrapcoords="-27 0 -27 21561 21600 21561 21600 0 -27 0">
          <v:imagedata r:id="rId1" o:title="Joint letterhead PRIN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2C3"/>
    <w:rsid w:val="000873CC"/>
    <w:rsid w:val="000A5F0B"/>
    <w:rsid w:val="000E2892"/>
    <w:rsid w:val="00112B55"/>
    <w:rsid w:val="001656B1"/>
    <w:rsid w:val="002F46FF"/>
    <w:rsid w:val="003064D9"/>
    <w:rsid w:val="00306F82"/>
    <w:rsid w:val="0033507A"/>
    <w:rsid w:val="00345155"/>
    <w:rsid w:val="003655EA"/>
    <w:rsid w:val="00444A82"/>
    <w:rsid w:val="00477D03"/>
    <w:rsid w:val="004C20F8"/>
    <w:rsid w:val="00506AFC"/>
    <w:rsid w:val="005230D8"/>
    <w:rsid w:val="005B1943"/>
    <w:rsid w:val="005E7851"/>
    <w:rsid w:val="0075232B"/>
    <w:rsid w:val="00827754"/>
    <w:rsid w:val="008C0D47"/>
    <w:rsid w:val="008E5F60"/>
    <w:rsid w:val="00AA42C3"/>
    <w:rsid w:val="00B53C92"/>
    <w:rsid w:val="00B9302C"/>
    <w:rsid w:val="00BA41A0"/>
    <w:rsid w:val="00C8355F"/>
    <w:rsid w:val="00D973A2"/>
    <w:rsid w:val="00E15171"/>
    <w:rsid w:val="00F7137A"/>
    <w:rsid w:val="00FB6B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2C3"/>
    <w:pPr>
      <w:tabs>
        <w:tab w:val="center" w:pos="4320"/>
        <w:tab w:val="right" w:pos="8640"/>
      </w:tabs>
    </w:pPr>
  </w:style>
  <w:style w:type="character" w:customStyle="1" w:styleId="HeaderChar">
    <w:name w:val="Header Char"/>
    <w:basedOn w:val="DefaultParagraphFont"/>
    <w:link w:val="Header"/>
    <w:uiPriority w:val="99"/>
    <w:rsid w:val="00AA42C3"/>
  </w:style>
  <w:style w:type="paragraph" w:styleId="Footer">
    <w:name w:val="footer"/>
    <w:basedOn w:val="Normal"/>
    <w:link w:val="FooterChar"/>
    <w:uiPriority w:val="99"/>
    <w:unhideWhenUsed/>
    <w:rsid w:val="00AA42C3"/>
    <w:pPr>
      <w:tabs>
        <w:tab w:val="center" w:pos="4320"/>
        <w:tab w:val="right" w:pos="8640"/>
      </w:tabs>
    </w:pPr>
  </w:style>
  <w:style w:type="character" w:customStyle="1" w:styleId="FooterChar">
    <w:name w:val="Footer Char"/>
    <w:basedOn w:val="DefaultParagraphFont"/>
    <w:link w:val="Footer"/>
    <w:uiPriority w:val="99"/>
    <w:rsid w:val="00AA42C3"/>
  </w:style>
  <w:style w:type="paragraph" w:styleId="NormalWeb">
    <w:name w:val="Normal (Web)"/>
    <w:basedOn w:val="Normal"/>
    <w:uiPriority w:val="99"/>
    <w:unhideWhenUsed/>
    <w:rsid w:val="00F7137A"/>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087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892"/>
    <w:rPr>
      <w:rFonts w:ascii="Tahoma" w:hAnsi="Tahoma" w:cs="Tahoma"/>
      <w:sz w:val="16"/>
      <w:szCs w:val="16"/>
    </w:rPr>
  </w:style>
  <w:style w:type="character" w:customStyle="1" w:styleId="BalloonTextChar">
    <w:name w:val="Balloon Text Char"/>
    <w:basedOn w:val="DefaultParagraphFont"/>
    <w:link w:val="BalloonText"/>
    <w:uiPriority w:val="99"/>
    <w:semiHidden/>
    <w:rsid w:val="000E28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2C3"/>
    <w:pPr>
      <w:tabs>
        <w:tab w:val="center" w:pos="4320"/>
        <w:tab w:val="right" w:pos="8640"/>
      </w:tabs>
    </w:pPr>
  </w:style>
  <w:style w:type="character" w:customStyle="1" w:styleId="HeaderChar">
    <w:name w:val="Header Char"/>
    <w:basedOn w:val="DefaultParagraphFont"/>
    <w:link w:val="Header"/>
    <w:uiPriority w:val="99"/>
    <w:rsid w:val="00AA42C3"/>
  </w:style>
  <w:style w:type="paragraph" w:styleId="Footer">
    <w:name w:val="footer"/>
    <w:basedOn w:val="Normal"/>
    <w:link w:val="FooterChar"/>
    <w:uiPriority w:val="99"/>
    <w:unhideWhenUsed/>
    <w:rsid w:val="00AA42C3"/>
    <w:pPr>
      <w:tabs>
        <w:tab w:val="center" w:pos="4320"/>
        <w:tab w:val="right" w:pos="8640"/>
      </w:tabs>
    </w:pPr>
  </w:style>
  <w:style w:type="character" w:customStyle="1" w:styleId="FooterChar">
    <w:name w:val="Footer Char"/>
    <w:basedOn w:val="DefaultParagraphFont"/>
    <w:link w:val="Footer"/>
    <w:uiPriority w:val="99"/>
    <w:rsid w:val="00AA42C3"/>
  </w:style>
  <w:style w:type="paragraph" w:styleId="NormalWeb">
    <w:name w:val="Normal (Web)"/>
    <w:basedOn w:val="Normal"/>
    <w:uiPriority w:val="99"/>
    <w:unhideWhenUsed/>
    <w:rsid w:val="00F7137A"/>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087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892"/>
    <w:rPr>
      <w:rFonts w:ascii="Tahoma" w:hAnsi="Tahoma" w:cs="Tahoma"/>
      <w:sz w:val="16"/>
      <w:szCs w:val="16"/>
    </w:rPr>
  </w:style>
  <w:style w:type="character" w:customStyle="1" w:styleId="BalloonTextChar">
    <w:name w:val="Balloon Text Char"/>
    <w:basedOn w:val="DefaultParagraphFont"/>
    <w:link w:val="BalloonText"/>
    <w:uiPriority w:val="99"/>
    <w:semiHidden/>
    <w:rsid w:val="000E28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9E6EB-1476-4C1C-A1D1-AE11BDC38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3417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Tibbetts Group</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Buttress</dc:creator>
  <cp:keywords>Ethical</cp:keywords>
  <cp:lastModifiedBy>Claire Connor</cp:lastModifiedBy>
  <cp:revision>2</cp:revision>
  <cp:lastPrinted>2018-03-13T11:43:00Z</cp:lastPrinted>
  <dcterms:created xsi:type="dcterms:W3CDTF">2020-07-28T11:59:00Z</dcterms:created>
  <dcterms:modified xsi:type="dcterms:W3CDTF">2020-07-28T11:59:00Z</dcterms:modified>
</cp:coreProperties>
</file>