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DD6" w14:textId="77777777" w:rsidR="00776BA5" w:rsidRDefault="00776BA5" w:rsidP="00776BA5">
      <w:pPr>
        <w:pStyle w:val="NormalWeb"/>
        <w:spacing w:before="0" w:beforeAutospacing="0" w:after="0" w:afterAutospacing="0"/>
        <w:jc w:val="center"/>
        <w:rPr>
          <w:rFonts w:ascii="Arial" w:eastAsiaTheme="minorEastAsia" w:hAnsi="Arial" w:cs="Arial"/>
          <w:b/>
          <w:bCs/>
          <w:color w:val="000000" w:themeColor="text1"/>
          <w:kern w:val="24"/>
          <w:sz w:val="21"/>
          <w:szCs w:val="21"/>
        </w:rPr>
      </w:pPr>
    </w:p>
    <w:p w14:paraId="17C16C9A" w14:textId="77777777" w:rsidR="00776BA5" w:rsidRDefault="00776BA5" w:rsidP="00776BA5">
      <w:pPr>
        <w:pStyle w:val="NormalWeb"/>
        <w:spacing w:before="0" w:beforeAutospacing="0" w:after="0" w:afterAutospacing="0"/>
        <w:jc w:val="center"/>
        <w:rPr>
          <w:rFonts w:ascii="Arial" w:eastAsiaTheme="minorEastAsia" w:hAnsi="Arial" w:cs="Arial"/>
          <w:b/>
          <w:bCs/>
          <w:color w:val="000000" w:themeColor="text1"/>
          <w:kern w:val="24"/>
          <w:sz w:val="21"/>
          <w:szCs w:val="21"/>
        </w:rPr>
      </w:pPr>
    </w:p>
    <w:p w14:paraId="72700BF6" w14:textId="77777777" w:rsidR="00776BA5" w:rsidRDefault="00776BA5" w:rsidP="00776BA5">
      <w:pPr>
        <w:pStyle w:val="NormalWeb"/>
        <w:spacing w:before="0" w:beforeAutospacing="0" w:after="0" w:afterAutospacing="0"/>
        <w:jc w:val="center"/>
        <w:rPr>
          <w:rFonts w:ascii="Arial" w:eastAsiaTheme="minorEastAsia" w:hAnsi="Arial" w:cs="Arial"/>
          <w:b/>
          <w:bCs/>
          <w:color w:val="000000" w:themeColor="text1"/>
          <w:kern w:val="24"/>
          <w:sz w:val="21"/>
          <w:szCs w:val="21"/>
        </w:rPr>
      </w:pPr>
    </w:p>
    <w:p w14:paraId="4F87C92A" w14:textId="77777777" w:rsidR="00776BA5" w:rsidRDefault="00776BA5" w:rsidP="00776BA5">
      <w:pPr>
        <w:pStyle w:val="NormalWeb"/>
        <w:spacing w:before="0" w:beforeAutospacing="0" w:after="0" w:afterAutospacing="0"/>
        <w:jc w:val="center"/>
        <w:rPr>
          <w:rFonts w:ascii="Arial" w:eastAsiaTheme="minorEastAsia" w:hAnsi="Arial" w:cs="Arial"/>
          <w:b/>
          <w:bCs/>
          <w:color w:val="000000" w:themeColor="text1"/>
          <w:kern w:val="24"/>
          <w:sz w:val="21"/>
          <w:szCs w:val="21"/>
        </w:rPr>
      </w:pPr>
    </w:p>
    <w:p w14:paraId="273D2035" w14:textId="77777777" w:rsidR="00776BA5" w:rsidRDefault="00776BA5" w:rsidP="00776BA5">
      <w:pPr>
        <w:pStyle w:val="NormalWeb"/>
        <w:spacing w:before="0" w:beforeAutospacing="0" w:after="0" w:afterAutospacing="0"/>
        <w:jc w:val="center"/>
      </w:pPr>
      <w:r>
        <w:rPr>
          <w:rFonts w:ascii="Arial" w:eastAsiaTheme="minorEastAsia" w:hAnsi="Arial" w:cs="Arial"/>
          <w:b/>
          <w:bCs/>
          <w:color w:val="000000" w:themeColor="text1"/>
          <w:kern w:val="24"/>
          <w:sz w:val="21"/>
          <w:szCs w:val="21"/>
        </w:rPr>
        <w:t>RoHS Statement</w:t>
      </w:r>
    </w:p>
    <w:p w14:paraId="6F0963D3" w14:textId="77777777" w:rsidR="00776BA5" w:rsidRDefault="00776BA5" w:rsidP="00776BA5">
      <w:pPr>
        <w:pStyle w:val="NormalWeb"/>
        <w:spacing w:before="0" w:beforeAutospacing="0" w:after="0" w:afterAutospacing="0"/>
        <w:jc w:val="center"/>
      </w:pPr>
      <w:r>
        <w:rPr>
          <w:rFonts w:ascii="Arial" w:eastAsiaTheme="minorEastAsia" w:hAnsi="Arial" w:cs="Arial"/>
          <w:b/>
          <w:bCs/>
          <w:color w:val="000000" w:themeColor="text1"/>
          <w:kern w:val="24"/>
          <w:sz w:val="21"/>
          <w:szCs w:val="21"/>
        </w:rPr>
        <w:t>(Restriction of the Use of Certain Hazardous Substances)</w:t>
      </w:r>
    </w:p>
    <w:p w14:paraId="564775EF" w14:textId="77777777" w:rsidR="00776BA5" w:rsidRDefault="00776BA5" w:rsidP="00776BA5">
      <w:pPr>
        <w:pStyle w:val="NormalWeb"/>
        <w:spacing w:before="0" w:beforeAutospacing="0" w:after="0" w:afterAutospacing="0"/>
      </w:pPr>
      <w:r>
        <w:rPr>
          <w:rFonts w:ascii="Arial" w:eastAsiaTheme="minorEastAsia" w:hAnsi="Arial" w:cs="Arial"/>
          <w:b/>
          <w:bCs/>
          <w:color w:val="000000" w:themeColor="text1"/>
          <w:kern w:val="24"/>
          <w:sz w:val="20"/>
          <w:szCs w:val="20"/>
        </w:rPr>
        <w:t>Scope:</w:t>
      </w:r>
    </w:p>
    <w:p w14:paraId="0E843B67" w14:textId="77777777" w:rsidR="00776BA5" w:rsidRDefault="00776BA5" w:rsidP="00776BA5">
      <w:pPr>
        <w:pStyle w:val="NormalWeb"/>
        <w:spacing w:before="0" w:beforeAutospacing="0" w:after="0" w:afterAutospacing="0"/>
        <w:jc w:val="both"/>
      </w:pPr>
      <w:r>
        <w:rPr>
          <w:rFonts w:ascii="Arial" w:eastAsiaTheme="minorEastAsia" w:hAnsi="Arial" w:cs="Arial"/>
          <w:color w:val="000000" w:themeColor="text1"/>
          <w:kern w:val="24"/>
          <w:sz w:val="20"/>
          <w:szCs w:val="20"/>
        </w:rPr>
        <w:t xml:space="preserve">The European Directive 2015/863 RoHS 3 is effective from 22 July 2019 and covers electrical and electronic equipment, The Tibbetts Group does not manufacture electrical and electronic equipment but supplies and distributes components sometimes used in such equipment. </w:t>
      </w:r>
    </w:p>
    <w:p w14:paraId="01E78F46" w14:textId="77777777" w:rsidR="00776BA5" w:rsidRDefault="00776BA5" w:rsidP="00776BA5">
      <w:pPr>
        <w:pStyle w:val="NormalWeb"/>
        <w:spacing w:before="0" w:beforeAutospacing="0" w:after="0" w:afterAutospacing="0"/>
        <w:jc w:val="both"/>
      </w:pPr>
      <w:r>
        <w:rPr>
          <w:rFonts w:ascii="Arial" w:eastAsiaTheme="minorEastAsia" w:hAnsi="Arial" w:cs="Arial"/>
          <w:b/>
          <w:bCs/>
          <w:color w:val="000000" w:themeColor="text1"/>
          <w:kern w:val="24"/>
          <w:sz w:val="20"/>
          <w:szCs w:val="20"/>
        </w:rPr>
        <w:t>Restricted Materials:</w:t>
      </w:r>
    </w:p>
    <w:p w14:paraId="2B703464" w14:textId="77777777" w:rsidR="00776BA5" w:rsidRDefault="00776BA5" w:rsidP="00776BA5">
      <w:pPr>
        <w:pStyle w:val="NormalWeb"/>
        <w:spacing w:before="0" w:beforeAutospacing="0" w:after="0" w:afterAutospacing="0"/>
        <w:jc w:val="both"/>
      </w:pPr>
      <w:r>
        <w:rPr>
          <w:rFonts w:ascii="Arial" w:eastAsiaTheme="minorEastAsia" w:hAnsi="Arial" w:cs="Arial"/>
          <w:color w:val="000000" w:themeColor="text1"/>
          <w:kern w:val="24"/>
          <w:sz w:val="20"/>
          <w:szCs w:val="20"/>
        </w:rPr>
        <w:t xml:space="preserve">The maximum permitted concentrations in non-exempt products are 0.1% or 1000 ppm (except for cadmium, which is limited to 0.01% or 100 ppm) by weight. The restrictions are on each </w:t>
      </w:r>
      <w:r>
        <w:rPr>
          <w:rFonts w:ascii="Arial" w:eastAsiaTheme="minorEastAsia" w:hAnsi="Arial" w:cs="Arial"/>
          <w:i/>
          <w:iCs/>
          <w:color w:val="000000" w:themeColor="text1"/>
          <w:kern w:val="24"/>
          <w:sz w:val="20"/>
          <w:szCs w:val="20"/>
        </w:rPr>
        <w:t>homogeneous material</w:t>
      </w:r>
      <w:r>
        <w:rPr>
          <w:rFonts w:ascii="Arial" w:eastAsiaTheme="minorEastAsia" w:hAnsi="Arial" w:cs="Arial"/>
          <w:color w:val="000000" w:themeColor="text1"/>
          <w:kern w:val="24"/>
          <w:sz w:val="20"/>
          <w:szCs w:val="20"/>
        </w:rPr>
        <w:t xml:space="preserve"> in the product, which means that the limits do not apply to the weight of the finished product, or even to a component, but to any single substance that could (theoretically) be separated mechanically.</w:t>
      </w:r>
    </w:p>
    <w:p w14:paraId="0A96B082" w14:textId="77777777"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Lead (Pb)</w:t>
      </w:r>
    </w:p>
    <w:p w14:paraId="51FE1CFA" w14:textId="77777777"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Mercury (Hg)</w:t>
      </w:r>
    </w:p>
    <w:p w14:paraId="1CAA940A" w14:textId="77777777"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Cadmium (Cd)</w:t>
      </w:r>
    </w:p>
    <w:p w14:paraId="56FE08B7" w14:textId="77777777"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Hexavalent chromium (Cr6+)</w:t>
      </w:r>
    </w:p>
    <w:p w14:paraId="6AA14073" w14:textId="77777777"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Polybrominated biphenyls (</w:t>
      </w:r>
      <w:proofErr w:type="spellStart"/>
      <w:r>
        <w:rPr>
          <w:rFonts w:ascii="Arial" w:eastAsiaTheme="minorEastAsia" w:hAnsi="Arial" w:cs="Arial"/>
          <w:b/>
          <w:bCs/>
          <w:color w:val="000000" w:themeColor="text1"/>
          <w:kern w:val="24"/>
          <w:sz w:val="20"/>
          <w:szCs w:val="20"/>
        </w:rPr>
        <w:t>PBB</w:t>
      </w:r>
      <w:proofErr w:type="spellEnd"/>
      <w:r>
        <w:rPr>
          <w:rFonts w:ascii="Arial" w:eastAsiaTheme="minorEastAsia" w:hAnsi="Arial" w:cs="Arial"/>
          <w:b/>
          <w:bCs/>
          <w:color w:val="000000" w:themeColor="text1"/>
          <w:kern w:val="24"/>
          <w:sz w:val="20"/>
          <w:szCs w:val="20"/>
        </w:rPr>
        <w:t>)</w:t>
      </w:r>
    </w:p>
    <w:p w14:paraId="4732722A" w14:textId="77777777"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Polybrominated diphenyl ether (</w:t>
      </w:r>
      <w:proofErr w:type="spellStart"/>
      <w:r>
        <w:rPr>
          <w:rFonts w:ascii="Arial" w:eastAsiaTheme="minorEastAsia" w:hAnsi="Arial" w:cs="Arial"/>
          <w:b/>
          <w:bCs/>
          <w:color w:val="000000" w:themeColor="text1"/>
          <w:kern w:val="24"/>
          <w:sz w:val="20"/>
          <w:szCs w:val="20"/>
        </w:rPr>
        <w:t>PBDE</w:t>
      </w:r>
      <w:proofErr w:type="spellEnd"/>
      <w:r>
        <w:rPr>
          <w:rFonts w:ascii="Arial" w:eastAsiaTheme="minorEastAsia" w:hAnsi="Arial" w:cs="Arial"/>
          <w:b/>
          <w:bCs/>
          <w:color w:val="000000" w:themeColor="text1"/>
          <w:kern w:val="24"/>
          <w:sz w:val="20"/>
          <w:szCs w:val="20"/>
        </w:rPr>
        <w:t>)</w:t>
      </w:r>
    </w:p>
    <w:p w14:paraId="75528ECB" w14:textId="77777777"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Bis(2-Ethylhexyl) phthalate (DEHP)</w:t>
      </w:r>
    </w:p>
    <w:p w14:paraId="7B3D0445" w14:textId="77777777"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Benzyl butyl phthalate</w:t>
      </w:r>
    </w:p>
    <w:p w14:paraId="6ED9B516" w14:textId="77777777"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Dibutyl phthalate</w:t>
      </w:r>
    </w:p>
    <w:p w14:paraId="31050E18" w14:textId="77777777" w:rsidR="00776BA5" w:rsidRDefault="00776BA5" w:rsidP="00776BA5">
      <w:pPr>
        <w:pStyle w:val="ListParagraph"/>
        <w:numPr>
          <w:ilvl w:val="0"/>
          <w:numId w:val="1"/>
        </w:numPr>
        <w:jc w:val="both"/>
        <w:rPr>
          <w:sz w:val="20"/>
        </w:rPr>
      </w:pPr>
      <w:proofErr w:type="spellStart"/>
      <w:r>
        <w:rPr>
          <w:rFonts w:ascii="Arial" w:eastAsiaTheme="minorEastAsia" w:hAnsi="Arial" w:cs="Arial"/>
          <w:b/>
          <w:bCs/>
          <w:color w:val="000000" w:themeColor="text1"/>
          <w:kern w:val="24"/>
          <w:sz w:val="20"/>
          <w:szCs w:val="20"/>
        </w:rPr>
        <w:t>Diisobutyl</w:t>
      </w:r>
      <w:proofErr w:type="spellEnd"/>
      <w:r>
        <w:rPr>
          <w:rFonts w:ascii="Arial" w:eastAsiaTheme="minorEastAsia" w:hAnsi="Arial" w:cs="Arial"/>
          <w:b/>
          <w:bCs/>
          <w:color w:val="000000" w:themeColor="text1"/>
          <w:kern w:val="24"/>
          <w:sz w:val="20"/>
          <w:szCs w:val="20"/>
        </w:rPr>
        <w:t xml:space="preserve"> phthalate</w:t>
      </w:r>
    </w:p>
    <w:p w14:paraId="29FA875C" w14:textId="77777777" w:rsidR="00776BA5" w:rsidRDefault="00776BA5" w:rsidP="00776BA5">
      <w:pPr>
        <w:pStyle w:val="NormalWeb"/>
        <w:spacing w:before="0" w:beforeAutospacing="0" w:after="0" w:afterAutospacing="0"/>
        <w:jc w:val="both"/>
        <w:rPr>
          <w:rFonts w:ascii="Arial" w:eastAsiaTheme="minorEastAsia" w:hAnsi="Arial" w:cs="Arial"/>
          <w:b/>
          <w:bCs/>
          <w:color w:val="000000" w:themeColor="text1"/>
          <w:kern w:val="24"/>
          <w:sz w:val="20"/>
          <w:szCs w:val="20"/>
        </w:rPr>
      </w:pPr>
    </w:p>
    <w:p w14:paraId="0B27A9B2" w14:textId="77777777" w:rsidR="00776BA5" w:rsidRDefault="00776BA5" w:rsidP="00776BA5">
      <w:pPr>
        <w:pStyle w:val="NormalWeb"/>
        <w:spacing w:before="0" w:beforeAutospacing="0" w:after="0" w:afterAutospacing="0"/>
        <w:jc w:val="both"/>
      </w:pPr>
      <w:r>
        <w:rPr>
          <w:rFonts w:ascii="Arial" w:eastAsiaTheme="minorEastAsia" w:hAnsi="Arial" w:cs="Arial"/>
          <w:b/>
          <w:bCs/>
          <w:color w:val="000000" w:themeColor="text1"/>
          <w:kern w:val="24"/>
          <w:sz w:val="20"/>
          <w:szCs w:val="20"/>
        </w:rPr>
        <w:t>Exemptions:</w:t>
      </w:r>
    </w:p>
    <w:p w14:paraId="0BA5B9E7" w14:textId="77777777" w:rsidR="00776BA5" w:rsidRDefault="00776BA5" w:rsidP="00776BA5">
      <w:pPr>
        <w:pStyle w:val="ListParagraph"/>
        <w:numPr>
          <w:ilvl w:val="0"/>
          <w:numId w:val="2"/>
        </w:numPr>
        <w:jc w:val="both"/>
        <w:rPr>
          <w:sz w:val="20"/>
        </w:rPr>
      </w:pPr>
      <w:r>
        <w:rPr>
          <w:rFonts w:ascii="Arial" w:eastAsiaTheme="minorEastAsia" w:hAnsi="Arial" w:cs="Arial"/>
          <w:b/>
          <w:bCs/>
          <w:color w:val="000000" w:themeColor="text1"/>
          <w:kern w:val="24"/>
          <w:sz w:val="20"/>
          <w:szCs w:val="20"/>
        </w:rPr>
        <w:t xml:space="preserve">Cadmium </w:t>
      </w:r>
      <w:r>
        <w:rPr>
          <w:rFonts w:ascii="Arial" w:eastAsiaTheme="minorEastAsia" w:hAnsi="Arial" w:cs="Arial"/>
          <w:color w:val="000000" w:themeColor="text1"/>
          <w:kern w:val="24"/>
          <w:sz w:val="20"/>
          <w:szCs w:val="20"/>
        </w:rPr>
        <w:t xml:space="preserve">- this material is used as plating on some of our products mainly supplied within the Aerospace Industry. If required, alternative plating should be specified by the customer. </w:t>
      </w:r>
    </w:p>
    <w:p w14:paraId="6FD99B25" w14:textId="77777777" w:rsidR="00776BA5" w:rsidRDefault="00776BA5" w:rsidP="00776BA5">
      <w:pPr>
        <w:pStyle w:val="ListParagraph"/>
        <w:numPr>
          <w:ilvl w:val="0"/>
          <w:numId w:val="2"/>
        </w:numPr>
        <w:jc w:val="both"/>
        <w:rPr>
          <w:sz w:val="20"/>
        </w:rPr>
      </w:pPr>
      <w:r>
        <w:rPr>
          <w:rFonts w:ascii="Arial" w:eastAsiaTheme="minorEastAsia" w:hAnsi="Arial" w:cs="Arial"/>
          <w:b/>
          <w:bCs/>
          <w:color w:val="000000" w:themeColor="text1"/>
          <w:kern w:val="24"/>
          <w:sz w:val="20"/>
          <w:szCs w:val="20"/>
        </w:rPr>
        <w:t xml:space="preserve">Lead </w:t>
      </w:r>
      <w:r>
        <w:rPr>
          <w:rFonts w:ascii="Arial" w:eastAsiaTheme="minorEastAsia" w:hAnsi="Arial" w:cs="Arial"/>
          <w:color w:val="000000" w:themeColor="text1"/>
          <w:kern w:val="24"/>
          <w:sz w:val="20"/>
          <w:szCs w:val="20"/>
        </w:rPr>
        <w:t xml:space="preserve">- this material is used as an alloy to improve machinability in various steel parts and also as plating. In all cases the maximum percentage of lead by weight is within the permitted exemption limit of 0.35%, as specified in paragraph 6(a) of the Directive. </w:t>
      </w:r>
    </w:p>
    <w:p w14:paraId="0A21DE8B" w14:textId="77777777" w:rsidR="00776BA5" w:rsidRDefault="00776BA5" w:rsidP="00776BA5">
      <w:pPr>
        <w:pStyle w:val="NormalWeb"/>
        <w:spacing w:before="0" w:beforeAutospacing="0" w:after="0" w:afterAutospacing="0"/>
        <w:jc w:val="both"/>
      </w:pPr>
      <w:r>
        <w:rPr>
          <w:rFonts w:ascii="Arial" w:eastAsiaTheme="minorEastAsia" w:hAnsi="Arial" w:cs="Arial"/>
          <w:b/>
          <w:bCs/>
          <w:color w:val="000000" w:themeColor="text1"/>
          <w:kern w:val="24"/>
          <w:sz w:val="20"/>
          <w:szCs w:val="20"/>
        </w:rPr>
        <w:t>Review:</w:t>
      </w:r>
    </w:p>
    <w:p w14:paraId="506336F6" w14:textId="77777777" w:rsidR="00776BA5" w:rsidRDefault="00776BA5" w:rsidP="00776BA5">
      <w:pPr>
        <w:pStyle w:val="NormalWeb"/>
        <w:spacing w:before="0" w:beforeAutospacing="0" w:after="0" w:afterAutospacing="0"/>
        <w:jc w:val="both"/>
      </w:pPr>
      <w:r>
        <w:rPr>
          <w:rFonts w:ascii="Arial" w:eastAsiaTheme="minorEastAsia" w:hAnsi="Arial" w:cs="Arial"/>
          <w:color w:val="000000" w:themeColor="text1"/>
          <w:kern w:val="24"/>
          <w:sz w:val="20"/>
          <w:szCs w:val="20"/>
        </w:rPr>
        <w:t>The Tibbetts Group continuously monitor the products it sources as part of our due diligence and will update the statement and customers accordingly. Should a customer require any specific detail on a product or range then we make this data available up on request.</w:t>
      </w:r>
    </w:p>
    <w:p w14:paraId="09406B9D" w14:textId="77777777" w:rsidR="009459A2" w:rsidRDefault="009459A2"/>
    <w:p w14:paraId="076D1D43" w14:textId="77777777" w:rsidR="00776BA5" w:rsidRDefault="00776BA5"/>
    <w:p w14:paraId="000841CD" w14:textId="77777777" w:rsidR="00776BA5" w:rsidRDefault="00776BA5"/>
    <w:p w14:paraId="57D0FA43" w14:textId="77777777" w:rsidR="00776BA5" w:rsidRDefault="00776BA5" w:rsidP="00776BA5">
      <w:pPr>
        <w:spacing w:after="0" w:line="240" w:lineRule="auto"/>
        <w:jc w:val="center"/>
        <w:rPr>
          <w:rFonts w:ascii="Arial" w:eastAsiaTheme="minorEastAsia" w:hAnsi="Arial" w:cs="Arial"/>
          <w:b/>
          <w:bCs/>
          <w:color w:val="000000" w:themeColor="text1"/>
          <w:kern w:val="24"/>
          <w:sz w:val="24"/>
          <w:szCs w:val="24"/>
          <w:lang w:eastAsia="en-GB"/>
        </w:rPr>
      </w:pPr>
      <w:r w:rsidRPr="00776BA5">
        <w:rPr>
          <w:rFonts w:ascii="Arial" w:eastAsiaTheme="minorEastAsia" w:hAnsi="Arial" w:cs="Arial"/>
          <w:b/>
          <w:bCs/>
          <w:color w:val="000000" w:themeColor="text1"/>
          <w:kern w:val="24"/>
          <w:sz w:val="24"/>
          <w:szCs w:val="24"/>
          <w:lang w:eastAsia="en-GB"/>
        </w:rPr>
        <w:t>Jonathan Tibbetts</w:t>
      </w:r>
    </w:p>
    <w:p w14:paraId="071DBD4D" w14:textId="77777777" w:rsidR="00776BA5" w:rsidRPr="00776BA5" w:rsidRDefault="00776BA5" w:rsidP="00776BA5">
      <w:pPr>
        <w:spacing w:after="0" w:line="240" w:lineRule="auto"/>
        <w:jc w:val="center"/>
        <w:rPr>
          <w:rFonts w:ascii="Times New Roman" w:eastAsia="Times New Roman" w:hAnsi="Times New Roman" w:cs="Times New Roman"/>
          <w:sz w:val="24"/>
          <w:szCs w:val="24"/>
          <w:lang w:eastAsia="en-GB"/>
        </w:rPr>
      </w:pPr>
      <w:r w:rsidRPr="00776BA5">
        <w:rPr>
          <w:rFonts w:ascii="Arial" w:eastAsiaTheme="minorEastAsia" w:hAnsi="Arial" w:cs="Arial"/>
          <w:b/>
          <w:bCs/>
          <w:color w:val="000000" w:themeColor="text1"/>
          <w:kern w:val="24"/>
          <w:sz w:val="24"/>
          <w:szCs w:val="24"/>
          <w:lang w:eastAsia="en-GB"/>
        </w:rPr>
        <w:t>Managing Director</w:t>
      </w:r>
    </w:p>
    <w:p w14:paraId="1AF3F5BD" w14:textId="77777777" w:rsidR="00776BA5" w:rsidRPr="00776BA5" w:rsidRDefault="00776BA5" w:rsidP="00776BA5">
      <w:pPr>
        <w:spacing w:after="0" w:line="240" w:lineRule="auto"/>
        <w:jc w:val="center"/>
        <w:rPr>
          <w:rFonts w:ascii="Times New Roman" w:eastAsia="Times New Roman" w:hAnsi="Times New Roman" w:cs="Times New Roman"/>
          <w:sz w:val="24"/>
          <w:szCs w:val="24"/>
          <w:lang w:eastAsia="en-GB"/>
        </w:rPr>
      </w:pPr>
      <w:r w:rsidRPr="00776BA5">
        <w:rPr>
          <w:rFonts w:ascii="Arial" w:eastAsiaTheme="minorEastAsia" w:hAnsi="Arial" w:cs="Arial"/>
          <w:b/>
          <w:bCs/>
          <w:color w:val="000000" w:themeColor="text1"/>
          <w:kern w:val="24"/>
          <w:sz w:val="24"/>
          <w:szCs w:val="24"/>
          <w:lang w:eastAsia="en-GB"/>
        </w:rPr>
        <w:t>The Tibbetts Group Ltd</w:t>
      </w:r>
    </w:p>
    <w:p w14:paraId="1C270112" w14:textId="77777777" w:rsidR="00776BA5" w:rsidRPr="00776BA5" w:rsidRDefault="00776BA5" w:rsidP="00776BA5">
      <w:pPr>
        <w:spacing w:after="0" w:line="240" w:lineRule="auto"/>
        <w:jc w:val="center"/>
        <w:rPr>
          <w:rFonts w:ascii="Times New Roman" w:eastAsia="Times New Roman" w:hAnsi="Times New Roman" w:cs="Times New Roman"/>
          <w:sz w:val="24"/>
          <w:szCs w:val="24"/>
          <w:lang w:eastAsia="en-GB"/>
        </w:rPr>
      </w:pPr>
    </w:p>
    <w:p w14:paraId="1F60C5DD" w14:textId="77777777" w:rsidR="00776BA5" w:rsidRDefault="00776BA5">
      <w:r>
        <w:rPr>
          <w:noProof/>
          <w:lang w:eastAsia="en-GB"/>
        </w:rPr>
        <w:drawing>
          <wp:anchor distT="0" distB="0" distL="114300" distR="114300" simplePos="0" relativeHeight="251658240" behindDoc="0" locked="0" layoutInCell="1" allowOverlap="1" wp14:anchorId="5B3756DC" wp14:editId="750C1261">
            <wp:simplePos x="0" y="0"/>
            <wp:positionH relativeFrom="column">
              <wp:posOffset>2296795</wp:posOffset>
            </wp:positionH>
            <wp:positionV relativeFrom="paragraph">
              <wp:posOffset>29845</wp:posOffset>
            </wp:positionV>
            <wp:extent cx="998855" cy="585470"/>
            <wp:effectExtent l="0" t="0" r="0" b="5080"/>
            <wp:wrapNone/>
            <wp:docPr id="4" name="Picture 3" descr="C:\Users\Emma Kinnerley\AppData\Local\Microsoft\Windows\Temporary Internet Files\Content.Outlook\WM3A6ZDJ\JT Signature.jpg"/>
            <wp:cNvGraphicFramePr/>
            <a:graphic xmlns:a="http://schemas.openxmlformats.org/drawingml/2006/main">
              <a:graphicData uri="http://schemas.openxmlformats.org/drawingml/2006/picture">
                <pic:pic xmlns:pic="http://schemas.openxmlformats.org/drawingml/2006/picture">
                  <pic:nvPicPr>
                    <pic:cNvPr id="4" name="Picture 3" descr="C:\Users\Emma Kinnerley\AppData\Local\Microsoft\Windows\Temporary Internet Files\Content.Outlook\WM3A6ZDJ\JT Signatur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37D36" w14:textId="77777777" w:rsidR="00776BA5" w:rsidRDefault="00776BA5"/>
    <w:sectPr w:rsidR="00776BA5" w:rsidSect="00776BA5">
      <w:headerReference w:type="default" r:id="rId9"/>
      <w:footerReference w:type="default" r:id="rId10"/>
      <w:pgSz w:w="11906" w:h="16838"/>
      <w:pgMar w:top="1985" w:right="1440" w:bottom="1440"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A05A" w14:textId="77777777" w:rsidR="00776BA5" w:rsidRDefault="00776BA5" w:rsidP="00776BA5">
      <w:pPr>
        <w:spacing w:after="0" w:line="240" w:lineRule="auto"/>
      </w:pPr>
      <w:r>
        <w:separator/>
      </w:r>
    </w:p>
  </w:endnote>
  <w:endnote w:type="continuationSeparator" w:id="0">
    <w:p w14:paraId="5B767AFD" w14:textId="77777777" w:rsidR="00776BA5" w:rsidRDefault="00776BA5" w:rsidP="0077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F9F0" w14:textId="39BE5F0B" w:rsidR="00776BA5" w:rsidRPr="00776BA5" w:rsidRDefault="00776BA5" w:rsidP="00776BA5">
    <w:pPr>
      <w:pStyle w:val="Footer"/>
      <w:tabs>
        <w:tab w:val="clear" w:pos="4513"/>
        <w:tab w:val="clear" w:pos="9026"/>
        <w:tab w:val="center" w:pos="3261"/>
      </w:tabs>
      <w:ind w:left="-284" w:right="-188"/>
      <w:rPr>
        <w:rFonts w:ascii="Arial" w:hAnsi="Arial" w:cs="Arial"/>
        <w:sz w:val="20"/>
        <w:szCs w:val="20"/>
      </w:rPr>
    </w:pPr>
    <w:r w:rsidRPr="00776BA5">
      <w:rPr>
        <w:rFonts w:ascii="Arial" w:hAnsi="Arial" w:cs="Arial"/>
        <w:sz w:val="20"/>
        <w:szCs w:val="20"/>
      </w:rPr>
      <w:t>PS01</w:t>
    </w:r>
    <w:r w:rsidRPr="00776BA5">
      <w:rPr>
        <w:rFonts w:ascii="Arial" w:hAnsi="Arial" w:cs="Arial"/>
        <w:sz w:val="20"/>
        <w:szCs w:val="20"/>
      </w:rPr>
      <w:tab/>
      <w:t>Owner:  Management</w:t>
    </w:r>
    <w:r w:rsidRPr="00776BA5">
      <w:rPr>
        <w:rFonts w:ascii="Arial" w:hAnsi="Arial" w:cs="Arial"/>
        <w:sz w:val="20"/>
        <w:szCs w:val="20"/>
      </w:rPr>
      <w:tab/>
    </w:r>
    <w:r w:rsidRPr="00776BA5">
      <w:rPr>
        <w:rFonts w:ascii="Arial" w:hAnsi="Arial" w:cs="Arial"/>
        <w:sz w:val="20"/>
        <w:szCs w:val="20"/>
      </w:rPr>
      <w:tab/>
      <w:t xml:space="preserve">Issue </w:t>
    </w:r>
    <w:r w:rsidR="00D73473">
      <w:rPr>
        <w:rFonts w:ascii="Arial" w:hAnsi="Arial" w:cs="Arial"/>
        <w:sz w:val="20"/>
        <w:szCs w:val="20"/>
      </w:rPr>
      <w:t>9</w:t>
    </w:r>
    <w:r w:rsidRPr="00776BA5">
      <w:rPr>
        <w:rFonts w:ascii="Arial" w:hAnsi="Arial" w:cs="Arial"/>
        <w:sz w:val="20"/>
        <w:szCs w:val="20"/>
      </w:rPr>
      <w:t xml:space="preserve"> – </w:t>
    </w:r>
    <w:r w:rsidR="00D73473">
      <w:rPr>
        <w:rFonts w:ascii="Arial" w:hAnsi="Arial" w:cs="Arial"/>
        <w:sz w:val="20"/>
        <w:szCs w:val="20"/>
      </w:rPr>
      <w:t>13.08.2021</w:t>
    </w:r>
    <w:r w:rsidRPr="00776BA5">
      <w:rPr>
        <w:rFonts w:ascii="Arial" w:hAnsi="Arial" w:cs="Arial"/>
        <w:sz w:val="20"/>
        <w:szCs w:val="20"/>
      </w:rPr>
      <w:tab/>
    </w:r>
    <w:r w:rsidRPr="00776BA5">
      <w:rPr>
        <w:rFonts w:ascii="Arial" w:hAnsi="Arial" w:cs="Arial"/>
        <w:sz w:val="20"/>
        <w:szCs w:val="20"/>
      </w:rPr>
      <w:tab/>
      <w:t xml:space="preserve">Page </w:t>
    </w:r>
    <w:r w:rsidRPr="00776BA5">
      <w:rPr>
        <w:rFonts w:ascii="Arial" w:hAnsi="Arial" w:cs="Arial"/>
        <w:sz w:val="20"/>
        <w:szCs w:val="20"/>
      </w:rPr>
      <w:fldChar w:fldCharType="begin"/>
    </w:r>
    <w:r w:rsidRPr="00776BA5">
      <w:rPr>
        <w:rFonts w:ascii="Arial" w:hAnsi="Arial" w:cs="Arial"/>
        <w:sz w:val="20"/>
        <w:szCs w:val="20"/>
      </w:rPr>
      <w:instrText xml:space="preserve"> PAGE  \* Arabic  \* MERGEFORMAT </w:instrText>
    </w:r>
    <w:r w:rsidRPr="00776BA5">
      <w:rPr>
        <w:rFonts w:ascii="Arial" w:hAnsi="Arial" w:cs="Arial"/>
        <w:sz w:val="20"/>
        <w:szCs w:val="20"/>
      </w:rPr>
      <w:fldChar w:fldCharType="separate"/>
    </w:r>
    <w:r w:rsidR="004C0E95">
      <w:rPr>
        <w:rFonts w:ascii="Arial" w:hAnsi="Arial" w:cs="Arial"/>
        <w:noProof/>
        <w:sz w:val="20"/>
        <w:szCs w:val="20"/>
      </w:rPr>
      <w:t>1</w:t>
    </w:r>
    <w:r w:rsidRPr="00776BA5">
      <w:rPr>
        <w:rFonts w:ascii="Arial" w:hAnsi="Arial" w:cs="Arial"/>
        <w:sz w:val="20"/>
        <w:szCs w:val="20"/>
      </w:rPr>
      <w:fldChar w:fldCharType="end"/>
    </w:r>
    <w:r w:rsidRPr="00776BA5">
      <w:rPr>
        <w:rFonts w:ascii="Arial" w:hAnsi="Arial" w:cs="Arial"/>
        <w:sz w:val="20"/>
        <w:szCs w:val="20"/>
      </w:rPr>
      <w:t xml:space="preserve"> of </w:t>
    </w:r>
    <w:r w:rsidRPr="00776BA5">
      <w:rPr>
        <w:rFonts w:ascii="Arial" w:hAnsi="Arial" w:cs="Arial"/>
        <w:sz w:val="20"/>
        <w:szCs w:val="20"/>
      </w:rPr>
      <w:fldChar w:fldCharType="begin"/>
    </w:r>
    <w:r w:rsidRPr="00776BA5">
      <w:rPr>
        <w:rFonts w:ascii="Arial" w:hAnsi="Arial" w:cs="Arial"/>
        <w:sz w:val="20"/>
        <w:szCs w:val="20"/>
      </w:rPr>
      <w:instrText xml:space="preserve"> NUMPAGES  \* Arabic  \* MERGEFORMAT </w:instrText>
    </w:r>
    <w:r w:rsidRPr="00776BA5">
      <w:rPr>
        <w:rFonts w:ascii="Arial" w:hAnsi="Arial" w:cs="Arial"/>
        <w:sz w:val="20"/>
        <w:szCs w:val="20"/>
      </w:rPr>
      <w:fldChar w:fldCharType="separate"/>
    </w:r>
    <w:r w:rsidR="004C0E95">
      <w:rPr>
        <w:rFonts w:ascii="Arial" w:hAnsi="Arial" w:cs="Arial"/>
        <w:noProof/>
        <w:sz w:val="20"/>
        <w:szCs w:val="20"/>
      </w:rPr>
      <w:t>1</w:t>
    </w:r>
    <w:r w:rsidRPr="00776BA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18FC" w14:textId="77777777" w:rsidR="00776BA5" w:rsidRDefault="00776BA5" w:rsidP="00776BA5">
      <w:pPr>
        <w:spacing w:after="0" w:line="240" w:lineRule="auto"/>
      </w:pPr>
      <w:r>
        <w:separator/>
      </w:r>
    </w:p>
  </w:footnote>
  <w:footnote w:type="continuationSeparator" w:id="0">
    <w:p w14:paraId="20E4B974" w14:textId="77777777" w:rsidR="00776BA5" w:rsidRDefault="00776BA5" w:rsidP="0077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2D0A" w14:textId="67B0C71C" w:rsidR="00776BA5" w:rsidRDefault="00D73473">
    <w:pPr>
      <w:pStyle w:val="Header"/>
      <w:rPr>
        <w:noProof/>
        <w:lang w:eastAsia="en-GB"/>
      </w:rPr>
    </w:pPr>
    <w:r w:rsidRPr="00505CF8">
      <w:rPr>
        <w:noProof/>
        <w:lang w:eastAsia="en-GB"/>
      </w:rPr>
      <w:drawing>
        <wp:anchor distT="0" distB="0" distL="114300" distR="114300" simplePos="0" relativeHeight="251659264" behindDoc="0" locked="0" layoutInCell="1" allowOverlap="1" wp14:anchorId="6A639DF5" wp14:editId="26E1FAB8">
          <wp:simplePos x="0" y="0"/>
          <wp:positionH relativeFrom="column">
            <wp:posOffset>1716215</wp:posOffset>
          </wp:positionH>
          <wp:positionV relativeFrom="paragraph">
            <wp:posOffset>-348615</wp:posOffset>
          </wp:positionV>
          <wp:extent cx="2199736" cy="1262456"/>
          <wp:effectExtent l="0" t="0" r="0" b="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6098" t="-22271" r="-11714" b="-24151"/>
                  <a:stretch/>
                </pic:blipFill>
                <pic:spPr bwMode="auto">
                  <a:xfrm>
                    <a:off x="0" y="0"/>
                    <a:ext cx="2199736" cy="12624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B6E717" w14:textId="77777777" w:rsidR="00D73473" w:rsidRDefault="00D73473">
    <w:pPr>
      <w:pStyle w:val="Header"/>
      <w:rPr>
        <w:noProof/>
        <w:lang w:eastAsia="en-GB"/>
      </w:rPr>
    </w:pPr>
  </w:p>
  <w:p w14:paraId="5F0CAE43" w14:textId="77777777" w:rsidR="00D73473" w:rsidRDefault="00D7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42A4"/>
    <w:multiLevelType w:val="hybridMultilevel"/>
    <w:tmpl w:val="9BC6667C"/>
    <w:lvl w:ilvl="0" w:tplc="1BAAA3CC">
      <w:start w:val="1"/>
      <w:numFmt w:val="bullet"/>
      <w:lvlText w:val="-"/>
      <w:lvlJc w:val="left"/>
      <w:pPr>
        <w:tabs>
          <w:tab w:val="num" w:pos="720"/>
        </w:tabs>
        <w:ind w:left="720" w:hanging="360"/>
      </w:pPr>
      <w:rPr>
        <w:rFonts w:ascii="Times New Roman" w:hAnsi="Times New Roman" w:hint="default"/>
      </w:rPr>
    </w:lvl>
    <w:lvl w:ilvl="1" w:tplc="6B3430BE" w:tentative="1">
      <w:start w:val="1"/>
      <w:numFmt w:val="bullet"/>
      <w:lvlText w:val="-"/>
      <w:lvlJc w:val="left"/>
      <w:pPr>
        <w:tabs>
          <w:tab w:val="num" w:pos="1440"/>
        </w:tabs>
        <w:ind w:left="1440" w:hanging="360"/>
      </w:pPr>
      <w:rPr>
        <w:rFonts w:ascii="Times New Roman" w:hAnsi="Times New Roman" w:hint="default"/>
      </w:rPr>
    </w:lvl>
    <w:lvl w:ilvl="2" w:tplc="61547204" w:tentative="1">
      <w:start w:val="1"/>
      <w:numFmt w:val="bullet"/>
      <w:lvlText w:val="-"/>
      <w:lvlJc w:val="left"/>
      <w:pPr>
        <w:tabs>
          <w:tab w:val="num" w:pos="2160"/>
        </w:tabs>
        <w:ind w:left="2160" w:hanging="360"/>
      </w:pPr>
      <w:rPr>
        <w:rFonts w:ascii="Times New Roman" w:hAnsi="Times New Roman" w:hint="default"/>
      </w:rPr>
    </w:lvl>
    <w:lvl w:ilvl="3" w:tplc="A740EEDA" w:tentative="1">
      <w:start w:val="1"/>
      <w:numFmt w:val="bullet"/>
      <w:lvlText w:val="-"/>
      <w:lvlJc w:val="left"/>
      <w:pPr>
        <w:tabs>
          <w:tab w:val="num" w:pos="2880"/>
        </w:tabs>
        <w:ind w:left="2880" w:hanging="360"/>
      </w:pPr>
      <w:rPr>
        <w:rFonts w:ascii="Times New Roman" w:hAnsi="Times New Roman" w:hint="default"/>
      </w:rPr>
    </w:lvl>
    <w:lvl w:ilvl="4" w:tplc="B6F2F33E" w:tentative="1">
      <w:start w:val="1"/>
      <w:numFmt w:val="bullet"/>
      <w:lvlText w:val="-"/>
      <w:lvlJc w:val="left"/>
      <w:pPr>
        <w:tabs>
          <w:tab w:val="num" w:pos="3600"/>
        </w:tabs>
        <w:ind w:left="3600" w:hanging="360"/>
      </w:pPr>
      <w:rPr>
        <w:rFonts w:ascii="Times New Roman" w:hAnsi="Times New Roman" w:hint="default"/>
      </w:rPr>
    </w:lvl>
    <w:lvl w:ilvl="5" w:tplc="10865648" w:tentative="1">
      <w:start w:val="1"/>
      <w:numFmt w:val="bullet"/>
      <w:lvlText w:val="-"/>
      <w:lvlJc w:val="left"/>
      <w:pPr>
        <w:tabs>
          <w:tab w:val="num" w:pos="4320"/>
        </w:tabs>
        <w:ind w:left="4320" w:hanging="360"/>
      </w:pPr>
      <w:rPr>
        <w:rFonts w:ascii="Times New Roman" w:hAnsi="Times New Roman" w:hint="default"/>
      </w:rPr>
    </w:lvl>
    <w:lvl w:ilvl="6" w:tplc="824E659C" w:tentative="1">
      <w:start w:val="1"/>
      <w:numFmt w:val="bullet"/>
      <w:lvlText w:val="-"/>
      <w:lvlJc w:val="left"/>
      <w:pPr>
        <w:tabs>
          <w:tab w:val="num" w:pos="5040"/>
        </w:tabs>
        <w:ind w:left="5040" w:hanging="360"/>
      </w:pPr>
      <w:rPr>
        <w:rFonts w:ascii="Times New Roman" w:hAnsi="Times New Roman" w:hint="default"/>
      </w:rPr>
    </w:lvl>
    <w:lvl w:ilvl="7" w:tplc="A8A095F0" w:tentative="1">
      <w:start w:val="1"/>
      <w:numFmt w:val="bullet"/>
      <w:lvlText w:val="-"/>
      <w:lvlJc w:val="left"/>
      <w:pPr>
        <w:tabs>
          <w:tab w:val="num" w:pos="5760"/>
        </w:tabs>
        <w:ind w:left="5760" w:hanging="360"/>
      </w:pPr>
      <w:rPr>
        <w:rFonts w:ascii="Times New Roman" w:hAnsi="Times New Roman" w:hint="default"/>
      </w:rPr>
    </w:lvl>
    <w:lvl w:ilvl="8" w:tplc="85347D3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EDC06CD"/>
    <w:multiLevelType w:val="hybridMultilevel"/>
    <w:tmpl w:val="471EBA04"/>
    <w:lvl w:ilvl="0" w:tplc="BE6A8A98">
      <w:start w:val="1"/>
      <w:numFmt w:val="bullet"/>
      <w:lvlText w:val="•"/>
      <w:lvlJc w:val="left"/>
      <w:pPr>
        <w:tabs>
          <w:tab w:val="num" w:pos="720"/>
        </w:tabs>
        <w:ind w:left="720" w:hanging="360"/>
      </w:pPr>
      <w:rPr>
        <w:rFonts w:ascii="Arial" w:hAnsi="Arial" w:hint="default"/>
      </w:rPr>
    </w:lvl>
    <w:lvl w:ilvl="1" w:tplc="7F788414" w:tentative="1">
      <w:start w:val="1"/>
      <w:numFmt w:val="bullet"/>
      <w:lvlText w:val="•"/>
      <w:lvlJc w:val="left"/>
      <w:pPr>
        <w:tabs>
          <w:tab w:val="num" w:pos="1440"/>
        </w:tabs>
        <w:ind w:left="1440" w:hanging="360"/>
      </w:pPr>
      <w:rPr>
        <w:rFonts w:ascii="Arial" w:hAnsi="Arial" w:hint="default"/>
      </w:rPr>
    </w:lvl>
    <w:lvl w:ilvl="2" w:tplc="60CCE7D4" w:tentative="1">
      <w:start w:val="1"/>
      <w:numFmt w:val="bullet"/>
      <w:lvlText w:val="•"/>
      <w:lvlJc w:val="left"/>
      <w:pPr>
        <w:tabs>
          <w:tab w:val="num" w:pos="2160"/>
        </w:tabs>
        <w:ind w:left="2160" w:hanging="360"/>
      </w:pPr>
      <w:rPr>
        <w:rFonts w:ascii="Arial" w:hAnsi="Arial" w:hint="default"/>
      </w:rPr>
    </w:lvl>
    <w:lvl w:ilvl="3" w:tplc="32729B2C" w:tentative="1">
      <w:start w:val="1"/>
      <w:numFmt w:val="bullet"/>
      <w:lvlText w:val="•"/>
      <w:lvlJc w:val="left"/>
      <w:pPr>
        <w:tabs>
          <w:tab w:val="num" w:pos="2880"/>
        </w:tabs>
        <w:ind w:left="2880" w:hanging="360"/>
      </w:pPr>
      <w:rPr>
        <w:rFonts w:ascii="Arial" w:hAnsi="Arial" w:hint="default"/>
      </w:rPr>
    </w:lvl>
    <w:lvl w:ilvl="4" w:tplc="802EEE22" w:tentative="1">
      <w:start w:val="1"/>
      <w:numFmt w:val="bullet"/>
      <w:lvlText w:val="•"/>
      <w:lvlJc w:val="left"/>
      <w:pPr>
        <w:tabs>
          <w:tab w:val="num" w:pos="3600"/>
        </w:tabs>
        <w:ind w:left="3600" w:hanging="360"/>
      </w:pPr>
      <w:rPr>
        <w:rFonts w:ascii="Arial" w:hAnsi="Arial" w:hint="default"/>
      </w:rPr>
    </w:lvl>
    <w:lvl w:ilvl="5" w:tplc="5186DA40" w:tentative="1">
      <w:start w:val="1"/>
      <w:numFmt w:val="bullet"/>
      <w:lvlText w:val="•"/>
      <w:lvlJc w:val="left"/>
      <w:pPr>
        <w:tabs>
          <w:tab w:val="num" w:pos="4320"/>
        </w:tabs>
        <w:ind w:left="4320" w:hanging="360"/>
      </w:pPr>
      <w:rPr>
        <w:rFonts w:ascii="Arial" w:hAnsi="Arial" w:hint="default"/>
      </w:rPr>
    </w:lvl>
    <w:lvl w:ilvl="6" w:tplc="458C63E6" w:tentative="1">
      <w:start w:val="1"/>
      <w:numFmt w:val="bullet"/>
      <w:lvlText w:val="•"/>
      <w:lvlJc w:val="left"/>
      <w:pPr>
        <w:tabs>
          <w:tab w:val="num" w:pos="5040"/>
        </w:tabs>
        <w:ind w:left="5040" w:hanging="360"/>
      </w:pPr>
      <w:rPr>
        <w:rFonts w:ascii="Arial" w:hAnsi="Arial" w:hint="default"/>
      </w:rPr>
    </w:lvl>
    <w:lvl w:ilvl="7" w:tplc="EA3C9B76" w:tentative="1">
      <w:start w:val="1"/>
      <w:numFmt w:val="bullet"/>
      <w:lvlText w:val="•"/>
      <w:lvlJc w:val="left"/>
      <w:pPr>
        <w:tabs>
          <w:tab w:val="num" w:pos="5760"/>
        </w:tabs>
        <w:ind w:left="5760" w:hanging="360"/>
      </w:pPr>
      <w:rPr>
        <w:rFonts w:ascii="Arial" w:hAnsi="Arial" w:hint="default"/>
      </w:rPr>
    </w:lvl>
    <w:lvl w:ilvl="8" w:tplc="9300FF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BA5"/>
    <w:rsid w:val="004C0E95"/>
    <w:rsid w:val="00776BA5"/>
    <w:rsid w:val="008871F9"/>
    <w:rsid w:val="009459A2"/>
    <w:rsid w:val="00D7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5971B"/>
  <w15:docId w15:val="{E883BF64-98B4-4DAC-A9A5-899C74D5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BA5"/>
  </w:style>
  <w:style w:type="paragraph" w:styleId="Footer">
    <w:name w:val="footer"/>
    <w:basedOn w:val="Normal"/>
    <w:link w:val="FooterChar"/>
    <w:uiPriority w:val="99"/>
    <w:unhideWhenUsed/>
    <w:rsid w:val="00776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BA5"/>
  </w:style>
  <w:style w:type="paragraph" w:styleId="NormalWeb">
    <w:name w:val="Normal (Web)"/>
    <w:basedOn w:val="Normal"/>
    <w:uiPriority w:val="99"/>
    <w:semiHidden/>
    <w:unhideWhenUsed/>
    <w:rsid w:val="00776B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76BA5"/>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7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7231">
      <w:bodyDiv w:val="1"/>
      <w:marLeft w:val="0"/>
      <w:marRight w:val="0"/>
      <w:marTop w:val="0"/>
      <w:marBottom w:val="0"/>
      <w:divBdr>
        <w:top w:val="none" w:sz="0" w:space="0" w:color="auto"/>
        <w:left w:val="none" w:sz="0" w:space="0" w:color="auto"/>
        <w:bottom w:val="none" w:sz="0" w:space="0" w:color="auto"/>
        <w:right w:val="none" w:sz="0" w:space="0" w:color="auto"/>
      </w:divBdr>
    </w:div>
    <w:div w:id="343093180">
      <w:bodyDiv w:val="1"/>
      <w:marLeft w:val="0"/>
      <w:marRight w:val="0"/>
      <w:marTop w:val="0"/>
      <w:marBottom w:val="0"/>
      <w:divBdr>
        <w:top w:val="none" w:sz="0" w:space="0" w:color="auto"/>
        <w:left w:val="none" w:sz="0" w:space="0" w:color="auto"/>
        <w:bottom w:val="none" w:sz="0" w:space="0" w:color="auto"/>
        <w:right w:val="none" w:sz="0" w:space="0" w:color="auto"/>
      </w:divBdr>
    </w:div>
    <w:div w:id="1837575667">
      <w:bodyDiv w:val="1"/>
      <w:marLeft w:val="0"/>
      <w:marRight w:val="0"/>
      <w:marTop w:val="0"/>
      <w:marBottom w:val="0"/>
      <w:divBdr>
        <w:top w:val="none" w:sz="0" w:space="0" w:color="auto"/>
        <w:left w:val="none" w:sz="0" w:space="0" w:color="auto"/>
        <w:bottom w:val="none" w:sz="0" w:space="0" w:color="auto"/>
        <w:right w:val="none" w:sz="0" w:space="0" w:color="auto"/>
      </w:divBdr>
      <w:divsChild>
        <w:div w:id="1645352514">
          <w:marLeft w:val="274"/>
          <w:marRight w:val="0"/>
          <w:marTop w:val="0"/>
          <w:marBottom w:val="0"/>
          <w:divBdr>
            <w:top w:val="none" w:sz="0" w:space="0" w:color="auto"/>
            <w:left w:val="none" w:sz="0" w:space="0" w:color="auto"/>
            <w:bottom w:val="none" w:sz="0" w:space="0" w:color="auto"/>
            <w:right w:val="none" w:sz="0" w:space="0" w:color="auto"/>
          </w:divBdr>
        </w:div>
        <w:div w:id="1777866617">
          <w:marLeft w:val="274"/>
          <w:marRight w:val="0"/>
          <w:marTop w:val="0"/>
          <w:marBottom w:val="0"/>
          <w:divBdr>
            <w:top w:val="none" w:sz="0" w:space="0" w:color="auto"/>
            <w:left w:val="none" w:sz="0" w:space="0" w:color="auto"/>
            <w:bottom w:val="none" w:sz="0" w:space="0" w:color="auto"/>
            <w:right w:val="none" w:sz="0" w:space="0" w:color="auto"/>
          </w:divBdr>
        </w:div>
        <w:div w:id="1431311465">
          <w:marLeft w:val="274"/>
          <w:marRight w:val="0"/>
          <w:marTop w:val="0"/>
          <w:marBottom w:val="0"/>
          <w:divBdr>
            <w:top w:val="none" w:sz="0" w:space="0" w:color="auto"/>
            <w:left w:val="none" w:sz="0" w:space="0" w:color="auto"/>
            <w:bottom w:val="none" w:sz="0" w:space="0" w:color="auto"/>
            <w:right w:val="none" w:sz="0" w:space="0" w:color="auto"/>
          </w:divBdr>
        </w:div>
        <w:div w:id="2087142459">
          <w:marLeft w:val="274"/>
          <w:marRight w:val="0"/>
          <w:marTop w:val="0"/>
          <w:marBottom w:val="0"/>
          <w:divBdr>
            <w:top w:val="none" w:sz="0" w:space="0" w:color="auto"/>
            <w:left w:val="none" w:sz="0" w:space="0" w:color="auto"/>
            <w:bottom w:val="none" w:sz="0" w:space="0" w:color="auto"/>
            <w:right w:val="none" w:sz="0" w:space="0" w:color="auto"/>
          </w:divBdr>
        </w:div>
        <w:div w:id="1792674608">
          <w:marLeft w:val="274"/>
          <w:marRight w:val="0"/>
          <w:marTop w:val="0"/>
          <w:marBottom w:val="0"/>
          <w:divBdr>
            <w:top w:val="none" w:sz="0" w:space="0" w:color="auto"/>
            <w:left w:val="none" w:sz="0" w:space="0" w:color="auto"/>
            <w:bottom w:val="none" w:sz="0" w:space="0" w:color="auto"/>
            <w:right w:val="none" w:sz="0" w:space="0" w:color="auto"/>
          </w:divBdr>
        </w:div>
        <w:div w:id="1790317553">
          <w:marLeft w:val="274"/>
          <w:marRight w:val="0"/>
          <w:marTop w:val="0"/>
          <w:marBottom w:val="0"/>
          <w:divBdr>
            <w:top w:val="none" w:sz="0" w:space="0" w:color="auto"/>
            <w:left w:val="none" w:sz="0" w:space="0" w:color="auto"/>
            <w:bottom w:val="none" w:sz="0" w:space="0" w:color="auto"/>
            <w:right w:val="none" w:sz="0" w:space="0" w:color="auto"/>
          </w:divBdr>
        </w:div>
        <w:div w:id="1507138323">
          <w:marLeft w:val="274"/>
          <w:marRight w:val="0"/>
          <w:marTop w:val="0"/>
          <w:marBottom w:val="0"/>
          <w:divBdr>
            <w:top w:val="none" w:sz="0" w:space="0" w:color="auto"/>
            <w:left w:val="none" w:sz="0" w:space="0" w:color="auto"/>
            <w:bottom w:val="none" w:sz="0" w:space="0" w:color="auto"/>
            <w:right w:val="none" w:sz="0" w:space="0" w:color="auto"/>
          </w:divBdr>
        </w:div>
        <w:div w:id="980425018">
          <w:marLeft w:val="274"/>
          <w:marRight w:val="0"/>
          <w:marTop w:val="0"/>
          <w:marBottom w:val="0"/>
          <w:divBdr>
            <w:top w:val="none" w:sz="0" w:space="0" w:color="auto"/>
            <w:left w:val="none" w:sz="0" w:space="0" w:color="auto"/>
            <w:bottom w:val="none" w:sz="0" w:space="0" w:color="auto"/>
            <w:right w:val="none" w:sz="0" w:space="0" w:color="auto"/>
          </w:divBdr>
        </w:div>
        <w:div w:id="294213937">
          <w:marLeft w:val="274"/>
          <w:marRight w:val="0"/>
          <w:marTop w:val="0"/>
          <w:marBottom w:val="0"/>
          <w:divBdr>
            <w:top w:val="none" w:sz="0" w:space="0" w:color="auto"/>
            <w:left w:val="none" w:sz="0" w:space="0" w:color="auto"/>
            <w:bottom w:val="none" w:sz="0" w:space="0" w:color="auto"/>
            <w:right w:val="none" w:sz="0" w:space="0" w:color="auto"/>
          </w:divBdr>
        </w:div>
        <w:div w:id="1092898142">
          <w:marLeft w:val="274"/>
          <w:marRight w:val="0"/>
          <w:marTop w:val="0"/>
          <w:marBottom w:val="0"/>
          <w:divBdr>
            <w:top w:val="none" w:sz="0" w:space="0" w:color="auto"/>
            <w:left w:val="none" w:sz="0" w:space="0" w:color="auto"/>
            <w:bottom w:val="none" w:sz="0" w:space="0" w:color="auto"/>
            <w:right w:val="none" w:sz="0" w:space="0" w:color="auto"/>
          </w:divBdr>
        </w:div>
        <w:div w:id="695664821">
          <w:marLeft w:val="274"/>
          <w:marRight w:val="0"/>
          <w:marTop w:val="0"/>
          <w:marBottom w:val="0"/>
          <w:divBdr>
            <w:top w:val="none" w:sz="0" w:space="0" w:color="auto"/>
            <w:left w:val="none" w:sz="0" w:space="0" w:color="auto"/>
            <w:bottom w:val="none" w:sz="0" w:space="0" w:color="auto"/>
            <w:right w:val="none" w:sz="0" w:space="0" w:color="auto"/>
          </w:divBdr>
        </w:div>
        <w:div w:id="112461738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FB53-8C27-4008-BBC5-3FD20D36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TGL</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Pybus</dc:creator>
  <cp:lastModifiedBy>Dawn Pybus</cp:lastModifiedBy>
  <cp:revision>3</cp:revision>
  <dcterms:created xsi:type="dcterms:W3CDTF">2020-02-25T15:08:00Z</dcterms:created>
  <dcterms:modified xsi:type="dcterms:W3CDTF">2021-08-13T15:40:00Z</dcterms:modified>
</cp:coreProperties>
</file>